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2D99" w:rsidRDefault="00E9611B">
      <w:pPr>
        <w:jc w:val="both"/>
        <w:rPr>
          <w:rFonts w:ascii="IBM Plex Sans" w:eastAsia="IBM Plex Sans" w:hAnsi="IBM Plex Sans" w:cs="IBM Plex Sans"/>
        </w:rPr>
      </w:pPr>
      <w:r>
        <w:rPr>
          <w:noProof/>
        </w:rPr>
        <w:drawing>
          <wp:anchor distT="0" distB="0" distL="0" distR="0" simplePos="0" relativeHeight="251658240" behindDoc="1" locked="0" layoutInCell="1" hidden="0" allowOverlap="1">
            <wp:simplePos x="0" y="0"/>
            <wp:positionH relativeFrom="column">
              <wp:posOffset>-914398</wp:posOffset>
            </wp:positionH>
            <wp:positionV relativeFrom="paragraph">
              <wp:posOffset>-1350643</wp:posOffset>
            </wp:positionV>
            <wp:extent cx="7526655" cy="10674350"/>
            <wp:effectExtent l="0" t="0" r="0" b="0"/>
            <wp:wrapNone/>
            <wp:docPr id="1374565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26655" cy="10674350"/>
                    </a:xfrm>
                    <a:prstGeom prst="rect">
                      <a:avLst/>
                    </a:prstGeom>
                    <a:ln/>
                  </pic:spPr>
                </pic:pic>
              </a:graphicData>
            </a:graphic>
          </wp:anchor>
        </w:drawing>
      </w: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0" w:name="_heading=h.hrf6zuv4til" w:colFirst="0" w:colLast="0"/>
      <w:bookmarkEnd w:id="0"/>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1" w:name="_heading=h.oqtkoauq2aja" w:colFirst="0" w:colLast="0"/>
      <w:bookmarkEnd w:id="1"/>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2" w:name="_heading=h.362o0trkvnns" w:colFirst="0" w:colLast="0"/>
      <w:bookmarkEnd w:id="2"/>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3" w:name="_heading=h.8chm3eywgv8s" w:colFirst="0" w:colLast="0"/>
      <w:bookmarkEnd w:id="3"/>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4" w:name="_heading=h.58grtjf7xm8q" w:colFirst="0" w:colLast="0"/>
      <w:bookmarkEnd w:id="4"/>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5" w:name="_heading=h.wdages9k7ckv" w:colFirst="0" w:colLast="0"/>
      <w:bookmarkEnd w:id="5"/>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6" w:name="_heading=h.nemmlb811iwo" w:colFirst="0" w:colLast="0"/>
      <w:bookmarkEnd w:id="6"/>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7" w:name="_heading=h.47fyvnj61xd" w:colFirst="0" w:colLast="0"/>
      <w:bookmarkEnd w:id="7"/>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8" w:name="_heading=h.bgtlijpjqcqk" w:colFirst="0" w:colLast="0"/>
      <w:bookmarkEnd w:id="8"/>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9" w:name="_heading=h.4w1wrz2mu571" w:colFirst="0" w:colLast="0"/>
      <w:bookmarkEnd w:id="9"/>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10" w:name="_heading=h.eagmtmorz516" w:colFirst="0" w:colLast="0"/>
      <w:bookmarkEnd w:id="10"/>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11" w:name="_heading=h.r1mzw94elmxg" w:colFirst="0" w:colLast="0"/>
      <w:bookmarkEnd w:id="11"/>
    </w:p>
    <w:p w:rsidR="00912D99" w:rsidRDefault="00912D99">
      <w:pPr>
        <w:keepNext/>
        <w:pBdr>
          <w:bottom w:val="single" w:sz="4" w:space="31" w:color="AEAAAA"/>
        </w:pBdr>
        <w:spacing w:before="120" w:after="240"/>
        <w:ind w:left="720"/>
        <w:jc w:val="both"/>
        <w:rPr>
          <w:rFonts w:ascii="IBM Plex Sans" w:eastAsia="IBM Plex Sans" w:hAnsi="IBM Plex Sans" w:cs="IBM Plex Sans"/>
          <w:b/>
          <w:bCs/>
          <w:sz w:val="28"/>
          <w:szCs w:val="28"/>
        </w:rPr>
      </w:pPr>
      <w:bookmarkStart w:id="12" w:name="_heading=h.hjgdybzev87v" w:colFirst="0" w:colLast="0"/>
      <w:bookmarkEnd w:id="12"/>
    </w:p>
    <w:p w:rsidR="00912D99" w:rsidRDefault="00912D99">
      <w:pPr>
        <w:jc w:val="both"/>
        <w:rPr>
          <w:rFonts w:ascii="IBM Plex Sans" w:eastAsia="IBM Plex Sans" w:hAnsi="IBM Plex Sans" w:cs="IBM Plex Sans"/>
          <w:b/>
          <w:bCs/>
        </w:rPr>
      </w:pPr>
      <w:bookmarkStart w:id="13" w:name="_heading=h.2he16jdy3sn7" w:colFirst="0" w:colLast="0"/>
      <w:bookmarkEnd w:id="13"/>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E9611B">
      <w:pPr>
        <w:tabs>
          <w:tab w:val="left" w:pos="2190"/>
        </w:tabs>
        <w:jc w:val="both"/>
        <w:rPr>
          <w:rFonts w:ascii="IBM Plex Sans" w:eastAsia="IBM Plex Sans" w:hAnsi="IBM Plex Sans" w:cs="IBM Plex Sans"/>
          <w:b/>
          <w:bCs/>
        </w:rPr>
      </w:pPr>
      <w:r>
        <w:rPr>
          <w:rFonts w:ascii="IBM Plex Sans" w:eastAsia="IBM Plex Sans" w:hAnsi="IBM Plex Sans" w:cs="IBM Plex Sans"/>
          <w:b/>
          <w:bCs/>
        </w:rPr>
        <w:tab/>
      </w: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C46D9C" w:rsidRDefault="00C46D9C" w:rsidP="00C46D9C">
      <w:pPr>
        <w:jc w:val="center"/>
        <w:rPr>
          <w:rFonts w:eastAsia="IBM Plex Sans"/>
          <w:b/>
          <w:bCs/>
          <w:sz w:val="24"/>
          <w:szCs w:val="24"/>
        </w:rPr>
      </w:pPr>
    </w:p>
    <w:p w:rsidR="00C46D9C" w:rsidRDefault="00C46D9C" w:rsidP="00C46D9C">
      <w:pPr>
        <w:jc w:val="center"/>
        <w:rPr>
          <w:rFonts w:eastAsia="IBM Plex Sans"/>
          <w:b/>
          <w:bCs/>
          <w:sz w:val="24"/>
          <w:szCs w:val="24"/>
        </w:rPr>
      </w:pPr>
    </w:p>
    <w:p w:rsidR="00C46D9C" w:rsidRDefault="00C46D9C" w:rsidP="00C46D9C">
      <w:pPr>
        <w:jc w:val="center"/>
        <w:rPr>
          <w:rFonts w:eastAsia="IBM Plex Sans"/>
          <w:b/>
          <w:bCs/>
          <w:sz w:val="24"/>
          <w:szCs w:val="24"/>
        </w:rPr>
      </w:pPr>
    </w:p>
    <w:p w:rsidR="00C46D9C" w:rsidRDefault="00C46D9C" w:rsidP="00C46D9C">
      <w:pPr>
        <w:jc w:val="center"/>
        <w:rPr>
          <w:rFonts w:eastAsia="IBM Plex Sans"/>
          <w:b/>
          <w:bCs/>
          <w:sz w:val="24"/>
          <w:szCs w:val="24"/>
        </w:rPr>
      </w:pPr>
    </w:p>
    <w:p w:rsidR="00C46D9C" w:rsidRDefault="00C46D9C" w:rsidP="00C46D9C">
      <w:pPr>
        <w:jc w:val="center"/>
        <w:rPr>
          <w:rFonts w:eastAsia="IBM Plex Sans"/>
          <w:b/>
          <w:bCs/>
          <w:sz w:val="24"/>
          <w:szCs w:val="24"/>
        </w:rPr>
      </w:pPr>
    </w:p>
    <w:p w:rsidR="00912D99" w:rsidRPr="00C46D9C" w:rsidRDefault="00E9611B" w:rsidP="00C46D9C">
      <w:pPr>
        <w:jc w:val="center"/>
        <w:rPr>
          <w:rFonts w:eastAsia="IBM Plex Sans"/>
          <w:b/>
          <w:bCs/>
          <w:sz w:val="24"/>
          <w:szCs w:val="24"/>
        </w:rPr>
      </w:pPr>
      <w:r w:rsidRPr="00C46D9C">
        <w:rPr>
          <w:rFonts w:eastAsia="IBM Plex Sans"/>
          <w:b/>
          <w:bCs/>
          <w:sz w:val="24"/>
          <w:szCs w:val="24"/>
        </w:rPr>
        <w:t>PLAN DE AUSTERIDAD DEL GASTO PÚBLICO 2025-2027</w:t>
      </w:r>
      <w:r w:rsidR="00C46D9C" w:rsidRPr="00C46D9C">
        <w:rPr>
          <w:rFonts w:eastAsia="IBM Plex Sans"/>
          <w:b/>
          <w:bCs/>
          <w:sz w:val="24"/>
          <w:szCs w:val="24"/>
        </w:rPr>
        <w:t>- Actualización 2026</w:t>
      </w:r>
    </w:p>
    <w:p w:rsidR="00912D99" w:rsidRDefault="00912D99" w:rsidP="00C46D9C">
      <w:pPr>
        <w:jc w:val="center"/>
        <w:rPr>
          <w:rFonts w:eastAsia="IBM Plex Sans"/>
          <w:b/>
          <w:bCs/>
          <w:sz w:val="24"/>
          <w:szCs w:val="24"/>
        </w:rPr>
      </w:pPr>
    </w:p>
    <w:p w:rsidR="00C46D9C" w:rsidRDefault="00C46D9C" w:rsidP="00C46D9C">
      <w:pPr>
        <w:jc w:val="center"/>
        <w:rPr>
          <w:rFonts w:eastAsia="IBM Plex Sans"/>
          <w:b/>
          <w:bCs/>
          <w:sz w:val="24"/>
          <w:szCs w:val="24"/>
        </w:rPr>
      </w:pPr>
    </w:p>
    <w:p w:rsidR="00C46D9C" w:rsidRDefault="00C46D9C" w:rsidP="00C46D9C">
      <w:pPr>
        <w:jc w:val="center"/>
        <w:rPr>
          <w:rFonts w:eastAsia="IBM Plex Sans"/>
          <w:b/>
          <w:bCs/>
          <w:sz w:val="24"/>
          <w:szCs w:val="24"/>
        </w:rPr>
      </w:pPr>
    </w:p>
    <w:p w:rsidR="00C46D9C" w:rsidRPr="00C46D9C" w:rsidRDefault="00C46D9C" w:rsidP="00C46D9C">
      <w:pPr>
        <w:jc w:val="center"/>
        <w:rPr>
          <w:rFonts w:eastAsia="IBM Plex Sans"/>
          <w:b/>
          <w:bCs/>
          <w:sz w:val="24"/>
          <w:szCs w:val="24"/>
        </w:rPr>
      </w:pPr>
    </w:p>
    <w:p w:rsidR="00912D99" w:rsidRPr="00C46D9C" w:rsidRDefault="00912D99" w:rsidP="00C46D9C">
      <w:pPr>
        <w:jc w:val="center"/>
        <w:rPr>
          <w:rFonts w:eastAsia="IBM Plex Sans"/>
          <w:b/>
          <w:bCs/>
          <w:sz w:val="24"/>
          <w:szCs w:val="24"/>
        </w:rPr>
      </w:pPr>
    </w:p>
    <w:p w:rsidR="00912D99" w:rsidRPr="00C46D9C" w:rsidRDefault="00912D99" w:rsidP="00C46D9C">
      <w:pPr>
        <w:jc w:val="center"/>
        <w:rPr>
          <w:rFonts w:eastAsia="IBM Plex Sans"/>
          <w:b/>
          <w:bCs/>
          <w:sz w:val="24"/>
          <w:szCs w:val="24"/>
        </w:rPr>
      </w:pPr>
    </w:p>
    <w:p w:rsidR="00912D99" w:rsidRPr="00C46D9C" w:rsidRDefault="00912D99" w:rsidP="00C46D9C">
      <w:pPr>
        <w:jc w:val="center"/>
        <w:rPr>
          <w:rFonts w:eastAsia="IBM Plex Sans"/>
          <w:b/>
          <w:bCs/>
          <w:sz w:val="24"/>
          <w:szCs w:val="24"/>
        </w:rPr>
      </w:pPr>
    </w:p>
    <w:p w:rsidR="00912D99" w:rsidRPr="00C46D9C" w:rsidRDefault="00912D99" w:rsidP="00C46D9C">
      <w:pPr>
        <w:jc w:val="center"/>
        <w:rPr>
          <w:rFonts w:eastAsia="IBM Plex Sans"/>
          <w:b/>
          <w:bCs/>
          <w:sz w:val="24"/>
          <w:szCs w:val="24"/>
        </w:rPr>
      </w:pPr>
    </w:p>
    <w:p w:rsidR="00912D99" w:rsidRPr="00C46D9C" w:rsidRDefault="00912D99" w:rsidP="00C46D9C">
      <w:pPr>
        <w:jc w:val="center"/>
        <w:rPr>
          <w:rFonts w:eastAsia="IBM Plex Sans"/>
          <w:b/>
          <w:bCs/>
          <w:sz w:val="24"/>
          <w:szCs w:val="24"/>
        </w:rPr>
      </w:pPr>
    </w:p>
    <w:p w:rsidR="00912D99" w:rsidRPr="00C46D9C" w:rsidRDefault="00E9611B" w:rsidP="00C46D9C">
      <w:pPr>
        <w:jc w:val="center"/>
        <w:rPr>
          <w:rFonts w:eastAsia="IBM Plex Sans"/>
          <w:b/>
          <w:bCs/>
          <w:sz w:val="24"/>
          <w:szCs w:val="24"/>
        </w:rPr>
      </w:pPr>
      <w:r w:rsidRPr="00C46D9C">
        <w:rPr>
          <w:rFonts w:eastAsia="IBM Plex Sans"/>
          <w:b/>
          <w:bCs/>
          <w:sz w:val="24"/>
          <w:szCs w:val="24"/>
        </w:rPr>
        <w:t xml:space="preserve">DIRECCIÓN ADMINISTRATIVA Y DE </w:t>
      </w:r>
      <w:proofErr w:type="spellStart"/>
      <w:r w:rsidRPr="00C46D9C">
        <w:rPr>
          <w:rFonts w:eastAsia="IBM Plex Sans"/>
          <w:b/>
          <w:bCs/>
          <w:sz w:val="24"/>
          <w:szCs w:val="24"/>
        </w:rPr>
        <w:t>TICs</w:t>
      </w:r>
      <w:proofErr w:type="spellEnd"/>
    </w:p>
    <w:p w:rsidR="00912D99" w:rsidRPr="00C46D9C" w:rsidRDefault="00912D99" w:rsidP="00C46D9C">
      <w:pPr>
        <w:jc w:val="center"/>
        <w:rPr>
          <w:rFonts w:eastAsia="IBM Plex Sans"/>
          <w:sz w:val="24"/>
          <w:szCs w:val="24"/>
        </w:rPr>
      </w:pPr>
    </w:p>
    <w:p w:rsidR="00912D99" w:rsidRPr="00C46D9C" w:rsidRDefault="00912D99" w:rsidP="00C46D9C">
      <w:pPr>
        <w:jc w:val="center"/>
        <w:rPr>
          <w:rFonts w:eastAsia="IBM Plex Sans"/>
          <w:sz w:val="24"/>
          <w:szCs w:val="24"/>
        </w:rPr>
      </w:pPr>
    </w:p>
    <w:p w:rsidR="00912D99" w:rsidRPr="00C46D9C" w:rsidRDefault="00912D99" w:rsidP="00C46D9C">
      <w:pPr>
        <w:jc w:val="center"/>
        <w:rPr>
          <w:rFonts w:eastAsia="IBM Plex Sans"/>
          <w:sz w:val="24"/>
          <w:szCs w:val="24"/>
        </w:rPr>
      </w:pPr>
    </w:p>
    <w:p w:rsidR="00912D99" w:rsidRPr="00C46D9C" w:rsidRDefault="00912D99" w:rsidP="00C46D9C">
      <w:pPr>
        <w:jc w:val="center"/>
        <w:rPr>
          <w:rFonts w:eastAsia="IBM Plex Sans"/>
          <w:sz w:val="24"/>
          <w:szCs w:val="24"/>
        </w:rPr>
      </w:pPr>
    </w:p>
    <w:p w:rsidR="00912D99" w:rsidRPr="00C46D9C" w:rsidRDefault="00912D99" w:rsidP="00C46D9C">
      <w:pPr>
        <w:jc w:val="center"/>
        <w:rPr>
          <w:rFonts w:eastAsia="IBM Plex Sans"/>
          <w:sz w:val="24"/>
          <w:szCs w:val="24"/>
        </w:rPr>
      </w:pPr>
    </w:p>
    <w:p w:rsidR="00912D99" w:rsidRDefault="00912D99" w:rsidP="00C46D9C">
      <w:pPr>
        <w:jc w:val="center"/>
        <w:rPr>
          <w:rFonts w:eastAsia="IBM Plex Sans"/>
          <w:sz w:val="24"/>
          <w:szCs w:val="24"/>
        </w:rPr>
      </w:pPr>
    </w:p>
    <w:p w:rsidR="00C46D9C" w:rsidRDefault="00C46D9C" w:rsidP="00C46D9C">
      <w:pPr>
        <w:jc w:val="center"/>
        <w:rPr>
          <w:rFonts w:eastAsia="IBM Plex Sans"/>
          <w:sz w:val="24"/>
          <w:szCs w:val="24"/>
        </w:rPr>
      </w:pPr>
    </w:p>
    <w:p w:rsidR="00C46D9C" w:rsidRDefault="00C46D9C" w:rsidP="00C46D9C">
      <w:pPr>
        <w:jc w:val="center"/>
        <w:rPr>
          <w:rFonts w:eastAsia="IBM Plex Sans"/>
          <w:sz w:val="24"/>
          <w:szCs w:val="24"/>
        </w:rPr>
      </w:pPr>
    </w:p>
    <w:p w:rsidR="00C46D9C" w:rsidRPr="00C46D9C" w:rsidRDefault="00C46D9C" w:rsidP="00C46D9C">
      <w:pPr>
        <w:jc w:val="center"/>
        <w:rPr>
          <w:rFonts w:eastAsia="IBM Plex Sans"/>
          <w:sz w:val="24"/>
          <w:szCs w:val="24"/>
        </w:rPr>
      </w:pPr>
    </w:p>
    <w:p w:rsidR="00912D99" w:rsidRPr="00C46D9C" w:rsidRDefault="00912D99" w:rsidP="00C46D9C">
      <w:pPr>
        <w:jc w:val="center"/>
        <w:rPr>
          <w:rFonts w:eastAsia="IBM Plex Sans"/>
          <w:sz w:val="24"/>
          <w:szCs w:val="24"/>
        </w:rPr>
      </w:pPr>
    </w:p>
    <w:p w:rsidR="00912D99" w:rsidRPr="00C46D9C" w:rsidRDefault="00E9611B" w:rsidP="00C46D9C">
      <w:pPr>
        <w:jc w:val="center"/>
        <w:rPr>
          <w:rFonts w:eastAsia="IBM Plex Sans"/>
          <w:sz w:val="24"/>
          <w:szCs w:val="24"/>
        </w:rPr>
      </w:pPr>
      <w:r w:rsidRPr="00C46D9C">
        <w:rPr>
          <w:rFonts w:eastAsia="IBM Plex Sans"/>
          <w:sz w:val="24"/>
          <w:szCs w:val="24"/>
        </w:rPr>
        <w:t xml:space="preserve">Versión </w:t>
      </w:r>
      <w:r w:rsidR="00C46D9C" w:rsidRPr="00C46D9C">
        <w:rPr>
          <w:rFonts w:eastAsia="IBM Plex Sans"/>
          <w:sz w:val="24"/>
          <w:szCs w:val="24"/>
        </w:rPr>
        <w:t>2</w:t>
      </w:r>
      <w:r w:rsidRPr="00C46D9C">
        <w:rPr>
          <w:rFonts w:eastAsia="IBM Plex Sans"/>
          <w:sz w:val="24"/>
          <w:szCs w:val="24"/>
        </w:rPr>
        <w:t>, enero</w:t>
      </w:r>
      <w:r w:rsidR="00C46D9C">
        <w:rPr>
          <w:rFonts w:eastAsia="IBM Plex Sans"/>
          <w:sz w:val="24"/>
          <w:szCs w:val="24"/>
        </w:rPr>
        <w:t xml:space="preserve"> </w:t>
      </w:r>
      <w:proofErr w:type="spellStart"/>
      <w:r w:rsidR="00C46D9C">
        <w:rPr>
          <w:rFonts w:eastAsia="IBM Plex Sans"/>
          <w:sz w:val="24"/>
          <w:szCs w:val="24"/>
        </w:rPr>
        <w:t>xxx</w:t>
      </w:r>
      <w:proofErr w:type="spellEnd"/>
      <w:r w:rsidRPr="00C46D9C">
        <w:rPr>
          <w:rFonts w:eastAsia="IBM Plex Sans"/>
          <w:sz w:val="24"/>
          <w:szCs w:val="24"/>
        </w:rPr>
        <w:t xml:space="preserve"> de 2026</w:t>
      </w:r>
    </w:p>
    <w:p w:rsidR="00912D99" w:rsidRDefault="00E9611B">
      <w:pPr>
        <w:jc w:val="both"/>
      </w:pPr>
      <w:r>
        <w:br w:type="page"/>
      </w:r>
    </w:p>
    <w:p w:rsidR="00912D99" w:rsidRDefault="00912D99">
      <w:pPr>
        <w:jc w:val="both"/>
      </w:pPr>
    </w:p>
    <w:p w:rsidR="00912D99" w:rsidRDefault="00912D99">
      <w:pPr>
        <w:jc w:val="both"/>
        <w:rPr>
          <w:rFonts w:ascii="IBM Plex Sans" w:eastAsia="IBM Plex Sans" w:hAnsi="IBM Plex Sans" w:cs="IBM Plex Sans"/>
        </w:rPr>
      </w:pPr>
    </w:p>
    <w:p w:rsidR="00912D99" w:rsidRDefault="00E9611B">
      <w:pPr>
        <w:keepNext/>
        <w:keepLines/>
        <w:pBdr>
          <w:top w:val="nil"/>
          <w:left w:val="nil"/>
          <w:bottom w:val="nil"/>
          <w:right w:val="nil"/>
          <w:between w:val="nil"/>
        </w:pBdr>
        <w:spacing w:before="240" w:line="259" w:lineRule="auto"/>
        <w:jc w:val="both"/>
        <w:rPr>
          <w:rFonts w:ascii="IBM Plex Sans" w:eastAsia="IBM Plex Sans" w:hAnsi="IBM Plex Sans" w:cs="IBM Plex Sans"/>
          <w:color w:val="366091"/>
          <w:sz w:val="32"/>
          <w:szCs w:val="32"/>
        </w:rPr>
      </w:pPr>
      <w:r>
        <w:rPr>
          <w:rFonts w:ascii="IBM Plex Sans" w:eastAsia="IBM Plex Sans" w:hAnsi="IBM Plex Sans" w:cs="IBM Plex Sans"/>
          <w:color w:val="366091"/>
          <w:sz w:val="32"/>
          <w:szCs w:val="32"/>
        </w:rPr>
        <w:t>Contenido</w:t>
      </w:r>
    </w:p>
    <w:sdt>
      <w:sdtPr>
        <w:id w:val="1418941000"/>
        <w:docPartObj>
          <w:docPartGallery w:val="Table of Contents"/>
          <w:docPartUnique/>
        </w:docPartObj>
      </w:sdtPr>
      <w:sdtEndPr/>
      <w:sdtContent>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begin"/>
          </w:r>
          <w:r>
            <w:instrText xml:space="preserve"> TOC \h \u \z \t "Heading 1,1,Heading 2,2,Heading 3,3,"</w:instrText>
          </w:r>
          <w:r>
            <w:fldChar w:fldCharType="separate"/>
          </w:r>
          <w:hyperlink w:anchor="_heading=h.g3314urfww06">
            <w:r>
              <w:rPr>
                <w:rFonts w:ascii="IBM Plex Sans" w:eastAsia="IBM Plex Sans" w:hAnsi="IBM Plex Sans" w:cs="IBM Plex Sans"/>
                <w:b/>
                <w:bCs/>
                <w:color w:val="000000"/>
              </w:rPr>
              <w:t>1.</w:t>
            </w:r>
          </w:hyperlink>
          <w:hyperlink w:anchor="_heading=h.g3314urfww06">
            <w:r>
              <w:rPr>
                <w:rFonts w:ascii="IBM Plex Sans" w:eastAsia="IBM Plex Sans" w:hAnsi="IBM Plex Sans" w:cs="IBM Plex Sans"/>
                <w:color w:val="000000"/>
              </w:rPr>
              <w:tab/>
            </w:r>
          </w:hyperlink>
          <w:r>
            <w:fldChar w:fldCharType="begin"/>
          </w:r>
          <w:r>
            <w:instrText xml:space="preserve"> PAGEREF _heading=h.g3314urfww06 \h </w:instrText>
          </w:r>
          <w:r>
            <w:fldChar w:fldCharType="separate"/>
          </w:r>
          <w:r>
            <w:rPr>
              <w:rFonts w:ascii="IBM Plex Sans" w:eastAsia="IBM Plex Sans" w:hAnsi="IBM Plex Sans" w:cs="IBM Plex Sans"/>
              <w:b/>
              <w:bCs/>
              <w:color w:val="000000"/>
            </w:rPr>
            <w:t>Objetivo</w:t>
          </w:r>
          <w:hyperlink w:anchor="_heading=h.g3314urfww06" w:history="1"/>
          <w:r>
            <w:rPr>
              <w:rFonts w:ascii="IBM Plex Sans" w:eastAsia="IBM Plex Sans" w:hAnsi="IBM Plex Sans" w:cs="IBM Plex Sans"/>
              <w:color w:val="000000"/>
            </w:rPr>
            <w:tab/>
            <w:t>4</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oixdseqxn1ai">
            <w:r>
              <w:rPr>
                <w:rFonts w:ascii="IBM Plex Sans" w:eastAsia="IBM Plex Sans" w:hAnsi="IBM Plex Sans" w:cs="IBM Plex Sans"/>
                <w:b/>
                <w:bCs/>
                <w:color w:val="000000"/>
              </w:rPr>
              <w:t>2.</w:t>
            </w:r>
          </w:hyperlink>
          <w:hyperlink w:anchor="_heading=h.oixdseqxn1ai">
            <w:r>
              <w:rPr>
                <w:rFonts w:ascii="IBM Plex Sans" w:eastAsia="IBM Plex Sans" w:hAnsi="IBM Plex Sans" w:cs="IBM Plex Sans"/>
                <w:color w:val="000000"/>
              </w:rPr>
              <w:tab/>
            </w:r>
          </w:hyperlink>
          <w:r>
            <w:fldChar w:fldCharType="begin"/>
          </w:r>
          <w:r>
            <w:instrText xml:space="preserve"> PAGEREF _heading=h.oixdseqxn1ai \h </w:instrText>
          </w:r>
          <w:r>
            <w:fldChar w:fldCharType="separate"/>
          </w:r>
          <w:r>
            <w:rPr>
              <w:rFonts w:ascii="IBM Plex Sans" w:eastAsia="IBM Plex Sans" w:hAnsi="IBM Plex Sans" w:cs="IBM Plex Sans"/>
              <w:b/>
              <w:bCs/>
              <w:color w:val="000000"/>
            </w:rPr>
            <w:t>Alcance</w:t>
          </w:r>
          <w:hyperlink w:anchor="_heading=h.oixdseqxn1ai" w:history="1"/>
          <w:r>
            <w:rPr>
              <w:rFonts w:ascii="IBM Plex Sans" w:eastAsia="IBM Plex Sans" w:hAnsi="IBM Plex Sans" w:cs="IBM Plex Sans"/>
              <w:color w:val="000000"/>
            </w:rPr>
            <w:tab/>
            <w:t>4</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4cg3yeltrzek">
            <w:r>
              <w:rPr>
                <w:rFonts w:ascii="IBM Plex Sans" w:eastAsia="IBM Plex Sans" w:hAnsi="IBM Plex Sans" w:cs="IBM Plex Sans"/>
                <w:b/>
                <w:bCs/>
                <w:color w:val="000000"/>
              </w:rPr>
              <w:t>3.</w:t>
            </w:r>
          </w:hyperlink>
          <w:hyperlink w:anchor="_heading=h.4cg3yeltrzek">
            <w:r>
              <w:rPr>
                <w:rFonts w:ascii="IBM Plex Sans" w:eastAsia="IBM Plex Sans" w:hAnsi="IBM Plex Sans" w:cs="IBM Plex Sans"/>
                <w:color w:val="000000"/>
              </w:rPr>
              <w:tab/>
            </w:r>
          </w:hyperlink>
          <w:r>
            <w:fldChar w:fldCharType="begin"/>
          </w:r>
          <w:r>
            <w:instrText xml:space="preserve"> PAGEREF _heading=h.4cg3yeltrzek \h </w:instrText>
          </w:r>
          <w:r>
            <w:fldChar w:fldCharType="separate"/>
          </w:r>
          <w:r>
            <w:rPr>
              <w:rFonts w:ascii="IBM Plex Sans" w:eastAsia="IBM Plex Sans" w:hAnsi="IBM Plex Sans" w:cs="IBM Plex Sans"/>
              <w:b/>
              <w:bCs/>
              <w:color w:val="000000"/>
            </w:rPr>
            <w:t>Alineación estratégica</w:t>
          </w:r>
          <w:hyperlink w:anchor="_heading=h.4cg3yeltrzek" w:history="1"/>
          <w:r>
            <w:rPr>
              <w:rFonts w:ascii="IBM Plex Sans" w:eastAsia="IBM Plex Sans" w:hAnsi="IBM Plex Sans" w:cs="IBM Plex Sans"/>
              <w:color w:val="000000"/>
            </w:rPr>
            <w:tab/>
            <w:t>4</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z8qodjdpss6">
            <w:r>
              <w:rPr>
                <w:rFonts w:ascii="IBM Plex Sans" w:eastAsia="IBM Plex Sans" w:hAnsi="IBM Plex Sans" w:cs="IBM Plex Sans"/>
                <w:b/>
                <w:bCs/>
                <w:color w:val="000000"/>
              </w:rPr>
              <w:t>4.</w:t>
            </w:r>
          </w:hyperlink>
          <w:hyperlink w:anchor="_heading=h.z8qodjdpss6">
            <w:r>
              <w:rPr>
                <w:rFonts w:ascii="IBM Plex Sans" w:eastAsia="IBM Plex Sans" w:hAnsi="IBM Plex Sans" w:cs="IBM Plex Sans"/>
                <w:color w:val="000000"/>
              </w:rPr>
              <w:tab/>
            </w:r>
          </w:hyperlink>
          <w:r>
            <w:fldChar w:fldCharType="begin"/>
          </w:r>
          <w:r>
            <w:instrText xml:space="preserve"> PAGEREF _heading=h.z8qodjdpss6 \h </w:instrText>
          </w:r>
          <w:r>
            <w:fldChar w:fldCharType="separate"/>
          </w:r>
          <w:r>
            <w:rPr>
              <w:rFonts w:ascii="IBM Plex Sans" w:eastAsia="IBM Plex Sans" w:hAnsi="IBM Plex Sans" w:cs="IBM Plex Sans"/>
              <w:b/>
              <w:bCs/>
              <w:color w:val="000000"/>
            </w:rPr>
            <w:t>Definiciones</w:t>
          </w:r>
          <w:hyperlink w:anchor="_heading=h.z8qodjdpss6" w:history="1"/>
          <w:r>
            <w:rPr>
              <w:rFonts w:ascii="IBM Plex Sans" w:eastAsia="IBM Plex Sans" w:hAnsi="IBM Plex Sans" w:cs="IBM Plex Sans"/>
              <w:color w:val="000000"/>
            </w:rPr>
            <w:tab/>
            <w:t>5</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k3aztdq704d4">
            <w:r>
              <w:rPr>
                <w:rFonts w:ascii="IBM Plex Sans" w:eastAsia="IBM Plex Sans" w:hAnsi="IBM Plex Sans" w:cs="IBM Plex Sans"/>
                <w:b/>
                <w:bCs/>
                <w:color w:val="000000"/>
              </w:rPr>
              <w:t>5.</w:t>
            </w:r>
          </w:hyperlink>
          <w:hyperlink w:anchor="_heading=h.k3aztdq704d4">
            <w:r>
              <w:rPr>
                <w:rFonts w:ascii="IBM Plex Sans" w:eastAsia="IBM Plex Sans" w:hAnsi="IBM Plex Sans" w:cs="IBM Plex Sans"/>
                <w:color w:val="000000"/>
              </w:rPr>
              <w:tab/>
            </w:r>
          </w:hyperlink>
          <w:r>
            <w:fldChar w:fldCharType="begin"/>
          </w:r>
          <w:r>
            <w:instrText xml:space="preserve"> PAGEREF _heading=h.k3aztdq704d4 \h </w:instrText>
          </w:r>
          <w:r>
            <w:fldChar w:fldCharType="separate"/>
          </w:r>
          <w:r>
            <w:rPr>
              <w:rFonts w:ascii="IBM Plex Sans" w:eastAsia="IBM Plex Sans" w:hAnsi="IBM Plex Sans" w:cs="IBM Plex Sans"/>
              <w:b/>
              <w:bCs/>
              <w:color w:val="000000"/>
            </w:rPr>
            <w:t>Normatividad y/o linea</w:t>
          </w:r>
          <w:r>
            <w:rPr>
              <w:rFonts w:ascii="IBM Plex Sans" w:eastAsia="IBM Plex Sans" w:hAnsi="IBM Plex Sans" w:cs="IBM Plex Sans"/>
              <w:b/>
              <w:bCs/>
              <w:color w:val="000000"/>
            </w:rPr>
            <w:t>mientos aplicables</w:t>
          </w:r>
          <w:hyperlink w:anchor="_heading=h.k3aztdq704d4" w:history="1"/>
          <w:r>
            <w:rPr>
              <w:rFonts w:ascii="IBM Plex Sans" w:eastAsia="IBM Plex Sans" w:hAnsi="IBM Plex Sans" w:cs="IBM Plex Sans"/>
              <w:color w:val="000000"/>
            </w:rPr>
            <w:tab/>
            <w:t>5</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x3apzz881hyu">
            <w:r>
              <w:rPr>
                <w:rFonts w:ascii="IBM Plex Sans" w:eastAsia="IBM Plex Sans" w:hAnsi="IBM Plex Sans" w:cs="IBM Plex Sans"/>
                <w:b/>
                <w:bCs/>
                <w:color w:val="000000"/>
              </w:rPr>
              <w:t>6.</w:t>
            </w:r>
          </w:hyperlink>
          <w:hyperlink w:anchor="_heading=h.x3apzz881hyu">
            <w:r>
              <w:rPr>
                <w:rFonts w:ascii="IBM Plex Sans" w:eastAsia="IBM Plex Sans" w:hAnsi="IBM Plex Sans" w:cs="IBM Plex Sans"/>
                <w:color w:val="000000"/>
              </w:rPr>
              <w:tab/>
            </w:r>
          </w:hyperlink>
          <w:r>
            <w:fldChar w:fldCharType="begin"/>
          </w:r>
          <w:r>
            <w:instrText xml:space="preserve"> PAGEREF _heading=h.x3apzz881hyu \h </w:instrText>
          </w:r>
          <w:r>
            <w:fldChar w:fldCharType="separate"/>
          </w:r>
          <w:r>
            <w:rPr>
              <w:rFonts w:ascii="IBM Plex Sans" w:eastAsia="IBM Plex Sans" w:hAnsi="IBM Plex Sans" w:cs="IBM Plex Sans"/>
              <w:b/>
              <w:bCs/>
              <w:color w:val="000000"/>
            </w:rPr>
            <w:t>Desarrollo</w:t>
          </w:r>
          <w:hyperlink w:anchor="_heading=h.x3apzz881hyu" w:history="1"/>
          <w:r>
            <w:rPr>
              <w:rFonts w:ascii="IBM Plex Sans" w:eastAsia="IBM Plex Sans" w:hAnsi="IBM Plex Sans" w:cs="IBM Plex Sans"/>
              <w:color w:val="000000"/>
            </w:rPr>
            <w:tab/>
            <w:t>6</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a1uny9kxi3vy">
            <w:r>
              <w:rPr>
                <w:rFonts w:ascii="IBM Plex Sans" w:eastAsia="IBM Plex Sans" w:hAnsi="IBM Plex Sans" w:cs="IBM Plex Sans"/>
                <w:b/>
                <w:bCs/>
                <w:color w:val="000000"/>
              </w:rPr>
              <w:t>7.</w:t>
            </w:r>
          </w:hyperlink>
          <w:hyperlink w:anchor="_heading=h.a1uny9kxi3vy">
            <w:r>
              <w:rPr>
                <w:rFonts w:ascii="IBM Plex Sans" w:eastAsia="IBM Plex Sans" w:hAnsi="IBM Plex Sans" w:cs="IBM Plex Sans"/>
                <w:color w:val="000000"/>
              </w:rPr>
              <w:tab/>
            </w:r>
          </w:hyperlink>
          <w:r>
            <w:fldChar w:fldCharType="begin"/>
          </w:r>
          <w:r>
            <w:instrText xml:space="preserve"> PAGEREF _heading=h.a1uny9kxi3vy \h </w:instrText>
          </w:r>
          <w:r>
            <w:fldChar w:fldCharType="separate"/>
          </w:r>
          <w:r>
            <w:rPr>
              <w:rFonts w:ascii="IBM Plex Sans" w:eastAsia="IBM Plex Sans" w:hAnsi="IBM Plex Sans" w:cs="IBM Plex Sans"/>
              <w:b/>
              <w:bCs/>
              <w:color w:val="000000"/>
            </w:rPr>
            <w:t>Actividades</w:t>
          </w:r>
          <w:hyperlink w:anchor="_heading=h.a1uny9kxi3vy" w:history="1"/>
          <w:r>
            <w:rPr>
              <w:rFonts w:ascii="IBM Plex Sans" w:eastAsia="IBM Plex Sans" w:hAnsi="IBM Plex Sans" w:cs="IBM Plex Sans"/>
              <w:color w:val="000000"/>
            </w:rPr>
            <w:tab/>
            <w:t>6</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m0c3vqgg3td0">
            <w:r>
              <w:rPr>
                <w:rFonts w:ascii="IBM Plex Sans" w:eastAsia="IBM Plex Sans" w:hAnsi="IBM Plex Sans" w:cs="IBM Plex Sans"/>
                <w:b/>
                <w:bCs/>
                <w:color w:val="000000"/>
              </w:rPr>
              <w:t>8.</w:t>
            </w:r>
          </w:hyperlink>
          <w:hyperlink w:anchor="_heading=h.m0c3vqgg3td0">
            <w:r>
              <w:rPr>
                <w:rFonts w:ascii="IBM Plex Sans" w:eastAsia="IBM Plex Sans" w:hAnsi="IBM Plex Sans" w:cs="IBM Plex Sans"/>
                <w:color w:val="000000"/>
              </w:rPr>
              <w:tab/>
            </w:r>
          </w:hyperlink>
          <w:r>
            <w:fldChar w:fldCharType="begin"/>
          </w:r>
          <w:r>
            <w:instrText xml:space="preserve"> PAGEREF _heading=h.m0c3vqgg3td0 \h </w:instrText>
          </w:r>
          <w:r>
            <w:fldChar w:fldCharType="separate"/>
          </w:r>
          <w:r>
            <w:rPr>
              <w:rFonts w:ascii="IBM Plex Sans" w:eastAsia="IBM Plex Sans" w:hAnsi="IBM Plex Sans" w:cs="IBM Plex Sans"/>
              <w:b/>
              <w:bCs/>
              <w:color w:val="000000"/>
            </w:rPr>
            <w:t>Medición y seguimiento</w:t>
          </w:r>
          <w:hyperlink w:anchor="_heading=h.m0c3vqgg3td0" w:history="1"/>
          <w:r>
            <w:rPr>
              <w:rFonts w:ascii="IBM Plex Sans" w:eastAsia="IBM Plex Sans" w:hAnsi="IBM Plex Sans" w:cs="IBM Plex Sans"/>
              <w:color w:val="000000"/>
            </w:rPr>
            <w:tab/>
            <w:t>7</w:t>
          </w:r>
        </w:p>
        <w:p w:rsidR="00912D99" w:rsidRDefault="00E9611B">
          <w:pPr>
            <w:pBdr>
              <w:top w:val="nil"/>
              <w:left w:val="nil"/>
              <w:bottom w:val="nil"/>
              <w:right w:val="nil"/>
              <w:between w:val="nil"/>
            </w:pBdr>
            <w:tabs>
              <w:tab w:val="left" w:pos="480"/>
              <w:tab w:val="right" w:pos="9019"/>
            </w:tabs>
            <w:spacing w:after="100"/>
            <w:jc w:val="both"/>
            <w:rPr>
              <w:rFonts w:ascii="IBM Plex Sans" w:eastAsia="IBM Plex Sans" w:hAnsi="IBM Plex Sans" w:cs="IBM Plex Sans"/>
              <w:color w:val="000000"/>
            </w:rPr>
          </w:pPr>
          <w:r>
            <w:fldChar w:fldCharType="end"/>
          </w:r>
          <w:hyperlink w:anchor="_heading=h.m0c3vqgg3td0">
            <w:r>
              <w:rPr>
                <w:rFonts w:ascii="IBM Plex Sans" w:eastAsia="IBM Plex Sans" w:hAnsi="IBM Plex Sans" w:cs="IBM Plex Sans"/>
                <w:b/>
                <w:bCs/>
                <w:color w:val="000000"/>
              </w:rPr>
              <w:t>9.</w:t>
            </w:r>
          </w:hyperlink>
          <w:hyperlink w:anchor="_heading=h.m0c3vqgg3td0">
            <w:r>
              <w:rPr>
                <w:rFonts w:ascii="IBM Plex Sans" w:eastAsia="IBM Plex Sans" w:hAnsi="IBM Plex Sans" w:cs="IBM Plex Sans"/>
                <w:color w:val="000000"/>
              </w:rPr>
              <w:tab/>
            </w:r>
          </w:hyperlink>
          <w:r>
            <w:fldChar w:fldCharType="begin"/>
          </w:r>
          <w:r>
            <w:instrText xml:space="preserve"> PAGEREF _heading=h.m0c3vqgg3td0 \h </w:instrText>
          </w:r>
          <w:r>
            <w:fldChar w:fldCharType="separate"/>
          </w:r>
          <w:r>
            <w:rPr>
              <w:rFonts w:ascii="IBM Plex Sans" w:eastAsia="IBM Plex Sans" w:hAnsi="IBM Plex Sans" w:cs="IBM Plex Sans"/>
              <w:b/>
              <w:bCs/>
              <w:color w:val="000000"/>
            </w:rPr>
            <w:t>Anexos</w:t>
          </w:r>
          <w:hyperlink w:anchor="_heading=h.m0c3vqgg3td0" w:history="1"/>
          <w:r>
            <w:rPr>
              <w:rFonts w:ascii="IBM Plex Sans" w:eastAsia="IBM Plex Sans" w:hAnsi="IBM Plex Sans" w:cs="IBM Plex Sans"/>
              <w:color w:val="000000"/>
            </w:rPr>
            <w:tab/>
            <w:t>7</w:t>
          </w:r>
        </w:p>
        <w:p w:rsidR="00912D99" w:rsidRDefault="00E9611B">
          <w:pPr>
            <w:pBdr>
              <w:top w:val="nil"/>
              <w:left w:val="nil"/>
              <w:bottom w:val="nil"/>
              <w:right w:val="nil"/>
              <w:between w:val="nil"/>
            </w:pBdr>
            <w:tabs>
              <w:tab w:val="left" w:pos="720"/>
              <w:tab w:val="right" w:pos="9019"/>
            </w:tabs>
            <w:spacing w:after="100"/>
            <w:jc w:val="both"/>
            <w:rPr>
              <w:rFonts w:ascii="IBM Plex Sans" w:eastAsia="IBM Plex Sans" w:hAnsi="IBM Plex Sans" w:cs="IBM Plex Sans"/>
              <w:color w:val="000000"/>
            </w:rPr>
          </w:pPr>
          <w:r>
            <w:fldChar w:fldCharType="end"/>
          </w:r>
          <w:hyperlink w:anchor="_heading=h.dqvk54ntljdk">
            <w:r>
              <w:rPr>
                <w:rFonts w:ascii="IBM Plex Sans" w:eastAsia="IBM Plex Sans" w:hAnsi="IBM Plex Sans" w:cs="IBM Plex Sans"/>
                <w:b/>
                <w:bCs/>
                <w:color w:val="000000"/>
              </w:rPr>
              <w:t>10.</w:t>
            </w:r>
          </w:hyperlink>
          <w:hyperlink w:anchor="_heading=h.dqvk54ntljdk">
            <w:r>
              <w:rPr>
                <w:rFonts w:ascii="IBM Plex Sans" w:eastAsia="IBM Plex Sans" w:hAnsi="IBM Plex Sans" w:cs="IBM Plex Sans"/>
                <w:color w:val="000000"/>
              </w:rPr>
              <w:tab/>
            </w:r>
          </w:hyperlink>
          <w:r>
            <w:fldChar w:fldCharType="begin"/>
          </w:r>
          <w:r>
            <w:instrText xml:space="preserve"> PAGEREF _heading=h.dqvk54ntljdk \h </w:instrText>
          </w:r>
          <w:r>
            <w:fldChar w:fldCharType="separate"/>
          </w:r>
          <w:r>
            <w:rPr>
              <w:rFonts w:ascii="IBM Plex Sans" w:eastAsia="IBM Plex Sans" w:hAnsi="IBM Plex Sans" w:cs="IBM Plex Sans"/>
              <w:b/>
              <w:bCs/>
              <w:color w:val="000000"/>
            </w:rPr>
            <w:t>Control de cambios</w:t>
          </w:r>
          <w:hyperlink w:anchor="_heading=h.dqvk54ntljdk" w:history="1"/>
          <w:r>
            <w:rPr>
              <w:rFonts w:ascii="IBM Plex Sans" w:eastAsia="IBM Plex Sans" w:hAnsi="IBM Plex Sans" w:cs="IBM Plex Sans"/>
              <w:color w:val="000000"/>
            </w:rPr>
            <w:tab/>
            <w:t>7</w:t>
          </w:r>
        </w:p>
        <w:p w:rsidR="00912D99" w:rsidRDefault="00E9611B">
          <w:pPr>
            <w:jc w:val="both"/>
            <w:rPr>
              <w:rFonts w:ascii="IBM Plex Sans" w:eastAsia="IBM Plex Sans" w:hAnsi="IBM Plex Sans" w:cs="IBM Plex Sans"/>
            </w:rPr>
          </w:pPr>
          <w:r>
            <w:fldChar w:fldCharType="end"/>
          </w:r>
          <w:r>
            <w:fldChar w:fldCharType="end"/>
          </w:r>
        </w:p>
      </w:sdtContent>
    </w:sdt>
    <w:p w:rsidR="00912D99" w:rsidRDefault="00912D99">
      <w:pPr>
        <w:jc w:val="both"/>
        <w:rPr>
          <w:rFonts w:ascii="IBM Plex Sans" w:eastAsia="IBM Plex Sans" w:hAnsi="IBM Plex Sans" w:cs="IBM Plex Sans"/>
        </w:rPr>
      </w:pPr>
    </w:p>
    <w:p w:rsidR="00912D99" w:rsidRDefault="00E9611B">
      <w:pPr>
        <w:jc w:val="both"/>
      </w:pPr>
      <w:r>
        <w:br w:type="page"/>
      </w:r>
    </w:p>
    <w:p w:rsidR="00912D99" w:rsidRDefault="00912D99">
      <w:pPr>
        <w:jc w:val="both"/>
      </w:pPr>
    </w:p>
    <w:p w:rsidR="00912D99" w:rsidRDefault="00912D99">
      <w:pPr>
        <w:jc w:val="both"/>
        <w:rPr>
          <w:rFonts w:ascii="IBM Plex Sans" w:eastAsia="IBM Plex Sans" w:hAnsi="IBM Plex Sans" w:cs="IBM Plex Sans"/>
        </w:rPr>
      </w:pPr>
    </w:p>
    <w:p w:rsidR="00912D99" w:rsidRDefault="00E9611B">
      <w:pPr>
        <w:pStyle w:val="Ttulo1"/>
        <w:numPr>
          <w:ilvl w:val="0"/>
          <w:numId w:val="1"/>
        </w:numPr>
        <w:jc w:val="both"/>
        <w:rPr>
          <w:rFonts w:ascii="IBM Plex Sans" w:eastAsia="IBM Plex Sans" w:hAnsi="IBM Plex Sans" w:cs="IBM Plex Sans"/>
          <w:b/>
          <w:bCs/>
          <w:sz w:val="22"/>
          <w:szCs w:val="22"/>
        </w:rPr>
      </w:pPr>
      <w:bookmarkStart w:id="14" w:name="_heading=h.g3314urfww06" w:colFirst="0" w:colLast="0"/>
      <w:bookmarkEnd w:id="14"/>
      <w:r>
        <w:rPr>
          <w:rFonts w:ascii="IBM Plex Sans" w:eastAsia="IBM Plex Sans" w:hAnsi="IBM Plex Sans" w:cs="IBM Plex Sans"/>
          <w:b/>
          <w:bCs/>
          <w:sz w:val="22"/>
          <w:szCs w:val="22"/>
        </w:rPr>
        <w:t>Objetivo</w:t>
      </w:r>
    </w:p>
    <w:p w:rsidR="00613DD5" w:rsidRDefault="00E9611B">
      <w:pPr>
        <w:widowControl w:val="0"/>
        <w:pBdr>
          <w:top w:val="nil"/>
          <w:left w:val="nil"/>
          <w:bottom w:val="nil"/>
          <w:right w:val="nil"/>
          <w:between w:val="nil"/>
        </w:pBdr>
        <w:spacing w:before="306" w:line="246" w:lineRule="auto"/>
        <w:ind w:right="281"/>
        <w:jc w:val="both"/>
      </w:pPr>
      <w:r>
        <w:t xml:space="preserve">Orientar las acciones y estrategias </w:t>
      </w:r>
      <w:r w:rsidR="00613DD5">
        <w:t>para</w:t>
      </w:r>
      <w:r>
        <w:t xml:space="preserve"> identificar, priorizar y aplicar medidas de ahorro y </w:t>
      </w:r>
      <w:r>
        <w:t xml:space="preserve">eficiencia en la gestión del gasto institucional, en articulación con las políticas de transparencia, integridad y racionalización del gasto público y en cumplimiento de los lineamientos distritales vigentes. </w:t>
      </w:r>
    </w:p>
    <w:p w:rsidR="00613DD5" w:rsidRPr="00613DD5" w:rsidRDefault="00613DD5">
      <w:pPr>
        <w:widowControl w:val="0"/>
        <w:pBdr>
          <w:top w:val="nil"/>
          <w:left w:val="nil"/>
          <w:bottom w:val="nil"/>
          <w:right w:val="nil"/>
          <w:between w:val="nil"/>
        </w:pBdr>
        <w:spacing w:before="306" w:line="246" w:lineRule="auto"/>
        <w:ind w:right="281"/>
        <w:jc w:val="both"/>
        <w:rPr>
          <w:b/>
        </w:rPr>
      </w:pPr>
      <w:r w:rsidRPr="00613DD5">
        <w:rPr>
          <w:b/>
        </w:rPr>
        <w:t>1.1 Objetivos Específicos</w:t>
      </w:r>
    </w:p>
    <w:p w:rsidR="00613DD5" w:rsidRDefault="00E9611B" w:rsidP="00613DD5">
      <w:pPr>
        <w:pStyle w:val="Prrafodelista"/>
        <w:widowControl w:val="0"/>
        <w:numPr>
          <w:ilvl w:val="0"/>
          <w:numId w:val="4"/>
        </w:numPr>
        <w:pBdr>
          <w:top w:val="nil"/>
          <w:left w:val="nil"/>
          <w:bottom w:val="nil"/>
          <w:right w:val="nil"/>
          <w:between w:val="nil"/>
        </w:pBdr>
        <w:spacing w:before="306" w:line="246" w:lineRule="auto"/>
        <w:ind w:right="281"/>
        <w:jc w:val="both"/>
      </w:pPr>
      <w:r>
        <w:t>Promover</w:t>
      </w:r>
      <w:r w:rsidR="00613DD5">
        <w:t xml:space="preserve"> acciones para</w:t>
      </w:r>
      <w:r>
        <w:t xml:space="preserve"> el uso eficiente, eficaz y au</w:t>
      </w:r>
      <w:r>
        <w:t>stero de los recursos</w:t>
      </w:r>
      <w:r w:rsidR="00613DD5">
        <w:t xml:space="preserve"> en los rubros del presupuesto elegibles para el ahorro por parte de la Empresa </w:t>
      </w:r>
      <w:proofErr w:type="spellStart"/>
      <w:r w:rsidR="00613DD5">
        <w:t>RenoBO</w:t>
      </w:r>
      <w:proofErr w:type="spellEnd"/>
      <w:r w:rsidR="00613DD5">
        <w:t>.</w:t>
      </w:r>
    </w:p>
    <w:p w:rsidR="00613DD5" w:rsidRDefault="00613DD5" w:rsidP="00613DD5">
      <w:pPr>
        <w:pStyle w:val="Prrafodelista"/>
        <w:widowControl w:val="0"/>
        <w:pBdr>
          <w:top w:val="nil"/>
          <w:left w:val="nil"/>
          <w:bottom w:val="nil"/>
          <w:right w:val="nil"/>
          <w:between w:val="nil"/>
        </w:pBdr>
        <w:spacing w:before="306" w:line="246" w:lineRule="auto"/>
        <w:ind w:right="281"/>
        <w:jc w:val="both"/>
      </w:pPr>
    </w:p>
    <w:p w:rsidR="00613DD5" w:rsidRDefault="00622358" w:rsidP="00613DD5">
      <w:pPr>
        <w:pStyle w:val="Prrafodelista"/>
        <w:widowControl w:val="0"/>
        <w:numPr>
          <w:ilvl w:val="0"/>
          <w:numId w:val="4"/>
        </w:numPr>
        <w:pBdr>
          <w:top w:val="nil"/>
          <w:left w:val="nil"/>
          <w:bottom w:val="nil"/>
          <w:right w:val="nil"/>
          <w:between w:val="nil"/>
        </w:pBdr>
        <w:spacing w:before="306" w:line="246" w:lineRule="auto"/>
        <w:ind w:right="281"/>
        <w:jc w:val="both"/>
      </w:pPr>
      <w:r>
        <w:t xml:space="preserve">Definir controles para </w:t>
      </w:r>
      <w:r w:rsidR="00E9611B">
        <w:t>la</w:t>
      </w:r>
      <w:r>
        <w:t xml:space="preserve"> correcta </w:t>
      </w:r>
      <w:r w:rsidR="00E9611B">
        <w:t>documentación y consolidación de informes y reportes</w:t>
      </w:r>
      <w:r w:rsidR="00613DD5">
        <w:t xml:space="preserve"> de austeridad solicitados por los entes de control internos y externos.</w:t>
      </w:r>
    </w:p>
    <w:p w:rsidR="00613DD5" w:rsidRDefault="00613DD5" w:rsidP="00613DD5">
      <w:pPr>
        <w:pStyle w:val="Prrafodelista"/>
      </w:pPr>
    </w:p>
    <w:p w:rsidR="00912D99" w:rsidRDefault="00613DD5" w:rsidP="00613DD5">
      <w:pPr>
        <w:pStyle w:val="Prrafodelista"/>
        <w:widowControl w:val="0"/>
        <w:numPr>
          <w:ilvl w:val="0"/>
          <w:numId w:val="4"/>
        </w:numPr>
        <w:pBdr>
          <w:top w:val="nil"/>
          <w:left w:val="nil"/>
          <w:bottom w:val="nil"/>
          <w:right w:val="nil"/>
          <w:between w:val="nil"/>
        </w:pBdr>
        <w:spacing w:before="306" w:line="246" w:lineRule="auto"/>
        <w:ind w:right="281"/>
        <w:jc w:val="both"/>
      </w:pPr>
      <w:r>
        <w:t xml:space="preserve"> </w:t>
      </w:r>
      <w:r w:rsidR="00622358">
        <w:t>G</w:t>
      </w:r>
      <w:r w:rsidR="00E9611B">
        <w:t>enerar alertas tempranas</w:t>
      </w:r>
      <w:r w:rsidR="00622358">
        <w:t xml:space="preserve"> para la</w:t>
      </w:r>
      <w:r w:rsidR="00E9611B">
        <w:t xml:space="preserve"> toma de decisiones en materia de austeridad del g</w:t>
      </w:r>
      <w:r w:rsidR="00E9611B">
        <w:t xml:space="preserve">asto público. </w:t>
      </w:r>
    </w:p>
    <w:p w:rsidR="00622358" w:rsidRDefault="00622358" w:rsidP="00622358">
      <w:pPr>
        <w:pStyle w:val="Prrafodelista"/>
      </w:pPr>
    </w:p>
    <w:p w:rsidR="00622358" w:rsidRDefault="00472ECE" w:rsidP="00613DD5">
      <w:pPr>
        <w:pStyle w:val="Prrafodelista"/>
        <w:widowControl w:val="0"/>
        <w:numPr>
          <w:ilvl w:val="0"/>
          <w:numId w:val="4"/>
        </w:numPr>
        <w:pBdr>
          <w:top w:val="nil"/>
          <w:left w:val="nil"/>
          <w:bottom w:val="nil"/>
          <w:right w:val="nil"/>
          <w:between w:val="nil"/>
        </w:pBdr>
        <w:spacing w:before="306" w:line="246" w:lineRule="auto"/>
        <w:ind w:right="281"/>
        <w:jc w:val="both"/>
      </w:pPr>
      <w:r>
        <w:t>Divulgar los logros, retos y oportunidades de mejora que en materia de austeridad del gasto público se implementan para el mejoramiento continuo de resultados y el alcance de la meta de ahorro prevista.</w:t>
      </w:r>
    </w:p>
    <w:p w:rsidR="00912D99" w:rsidRDefault="00E9611B">
      <w:pPr>
        <w:pStyle w:val="Ttulo1"/>
        <w:numPr>
          <w:ilvl w:val="0"/>
          <w:numId w:val="1"/>
        </w:numPr>
        <w:jc w:val="both"/>
        <w:rPr>
          <w:rFonts w:ascii="IBM Plex Sans" w:eastAsia="IBM Plex Sans" w:hAnsi="IBM Plex Sans" w:cs="IBM Plex Sans"/>
          <w:b/>
          <w:bCs/>
          <w:sz w:val="22"/>
          <w:szCs w:val="22"/>
        </w:rPr>
      </w:pPr>
      <w:bookmarkStart w:id="15" w:name="_heading=h.oixdseqxn1ai" w:colFirst="0" w:colLast="0"/>
      <w:bookmarkEnd w:id="15"/>
      <w:r>
        <w:rPr>
          <w:rFonts w:ascii="IBM Plex Sans" w:eastAsia="IBM Plex Sans" w:hAnsi="IBM Plex Sans" w:cs="IBM Plex Sans"/>
          <w:b/>
          <w:bCs/>
          <w:sz w:val="22"/>
          <w:szCs w:val="22"/>
        </w:rPr>
        <w:t>A</w:t>
      </w:r>
      <w:r>
        <w:rPr>
          <w:rFonts w:ascii="IBM Plex Sans" w:eastAsia="IBM Plex Sans" w:hAnsi="IBM Plex Sans" w:cs="IBM Plex Sans"/>
          <w:b/>
          <w:bCs/>
          <w:sz w:val="22"/>
          <w:szCs w:val="22"/>
        </w:rPr>
        <w:t>lcanc</w:t>
      </w:r>
      <w:r>
        <w:rPr>
          <w:rFonts w:ascii="IBM Plex Sans" w:eastAsia="IBM Plex Sans" w:hAnsi="IBM Plex Sans" w:cs="IBM Plex Sans"/>
          <w:b/>
          <w:bCs/>
          <w:sz w:val="22"/>
          <w:szCs w:val="22"/>
        </w:rPr>
        <w:t>e</w:t>
      </w:r>
    </w:p>
    <w:p w:rsidR="00912D99" w:rsidRDefault="00E9611B">
      <w:pPr>
        <w:widowControl w:val="0"/>
        <w:pBdr>
          <w:top w:val="nil"/>
          <w:left w:val="nil"/>
          <w:bottom w:val="nil"/>
          <w:right w:val="nil"/>
          <w:between w:val="nil"/>
        </w:pBdr>
        <w:spacing w:before="306" w:line="246" w:lineRule="auto"/>
        <w:ind w:right="281"/>
        <w:jc w:val="both"/>
      </w:pPr>
      <w:r>
        <w:t>El Plan de Austeridad del Gasto Institucional abarca el ciclo completo de la gestión del gasto, comprendiendo las fases de apropiación de los lineamientos, identificación y priorización de medidas de austeridad y eficiencia, ejecución, seguimiento, conso</w:t>
      </w:r>
      <w:r>
        <w:t>lidación de informes, socialización de resultados, y monitoreo y evaluación. Su aplicación se enmarca en la articulación permanente con las políticas de transparencia, integridad y racionalización del gasto público, conforme a los lineamientos nacionales y</w:t>
      </w:r>
      <w:r>
        <w:t xml:space="preserve"> distritales vigentes.</w:t>
      </w:r>
    </w:p>
    <w:p w:rsidR="00912D99" w:rsidRPr="00217313" w:rsidRDefault="00E9611B">
      <w:pPr>
        <w:widowControl w:val="0"/>
        <w:pBdr>
          <w:top w:val="nil"/>
          <w:left w:val="nil"/>
          <w:bottom w:val="nil"/>
          <w:right w:val="nil"/>
          <w:between w:val="nil"/>
        </w:pBdr>
        <w:spacing w:before="306" w:line="246" w:lineRule="auto"/>
        <w:ind w:right="281"/>
        <w:jc w:val="both"/>
        <w:rPr>
          <w:b/>
        </w:rPr>
      </w:pPr>
      <w:r>
        <w:t xml:space="preserve">El Plan se aplica a todos los recursos, procesos y actividades que inciden en la eficiencia y racionalización del gasto institucional, incluyendo, entre otros, el </w:t>
      </w:r>
      <w:r w:rsidRPr="00217313">
        <w:rPr>
          <w:b/>
        </w:rPr>
        <w:t>consumo de servicios públicos, horas extras, viáticos y transporte, us</w:t>
      </w:r>
      <w:r w:rsidRPr="00217313">
        <w:rPr>
          <w:b/>
        </w:rPr>
        <w:t>o y administración de bienes y equipos institucionales, procesos de adquisición y contratación, y el consumo de papel.</w:t>
      </w:r>
    </w:p>
    <w:p w:rsidR="00912D99" w:rsidRDefault="00E9611B">
      <w:pPr>
        <w:widowControl w:val="0"/>
        <w:pBdr>
          <w:top w:val="nil"/>
          <w:left w:val="nil"/>
          <w:bottom w:val="nil"/>
          <w:right w:val="nil"/>
          <w:between w:val="nil"/>
        </w:pBdr>
        <w:spacing w:before="306" w:line="246" w:lineRule="auto"/>
        <w:ind w:right="281"/>
        <w:jc w:val="both"/>
      </w:pPr>
      <w:r>
        <w:t xml:space="preserve">La ejecución del Plan inicia con la apropiación de los lineamientos por parte de los responsables del gasto, con el fin de identificar y </w:t>
      </w:r>
      <w:r>
        <w:t>priorizar las medidas de austeridad y eficiencia. Posteriormente, se desarrolla la fase de ejecución y consolidación de la información, que incluye la elaboración y socialización de reportes e informes a los entes de control internos y externos, garantizan</w:t>
      </w:r>
      <w:r>
        <w:t>do la claridad, consistencia, trazabilidad y confiabilidad de la información generada para la toma de decisiones.</w:t>
      </w:r>
    </w:p>
    <w:p w:rsidR="00912D99" w:rsidRDefault="00E9611B">
      <w:pPr>
        <w:widowControl w:val="0"/>
        <w:pBdr>
          <w:top w:val="nil"/>
          <w:left w:val="nil"/>
          <w:bottom w:val="nil"/>
          <w:right w:val="nil"/>
          <w:between w:val="nil"/>
        </w:pBdr>
        <w:spacing w:before="306" w:line="246" w:lineRule="auto"/>
        <w:ind w:right="281"/>
        <w:jc w:val="both"/>
      </w:pPr>
      <w:r>
        <w:t>Finalmente, el Plan contempla el monitoreo y la evaluación a cargo de la Oficina de Control Interno y la Secretaría Distrital de Hábitat, con énfasis en la materialización del ahorro generado durante la vigencia, así como en el reporte periódico de los res</w:t>
      </w:r>
      <w:r>
        <w:t xml:space="preserve">ultados a las Secretarías Distritales de </w:t>
      </w:r>
      <w:r>
        <w:lastRenderedPageBreak/>
        <w:t>Hacienda y Hábitat, y a través de los informes de gestión institucional.</w:t>
      </w:r>
    </w:p>
    <w:p w:rsidR="00912D99" w:rsidRDefault="00E9611B">
      <w:pPr>
        <w:widowControl w:val="0"/>
        <w:pBdr>
          <w:top w:val="nil"/>
          <w:left w:val="nil"/>
          <w:bottom w:val="nil"/>
          <w:right w:val="nil"/>
          <w:between w:val="nil"/>
        </w:pBdr>
        <w:spacing w:before="306" w:line="246" w:lineRule="auto"/>
        <w:ind w:right="281"/>
        <w:jc w:val="both"/>
      </w:pPr>
      <w:r>
        <w:t>Este alcance permite asegurar la correcta aplicación de las medidas de austeridad, fortalecer la transparencia y la rendición de cuentas, y pr</w:t>
      </w:r>
      <w:r>
        <w:t>omover la mejora continua de los procesos administrativos, contribuyendo a la sostenibilidad financiera y a la eficiencia operativa de la Entidad.</w:t>
      </w:r>
    </w:p>
    <w:p w:rsidR="00912D99" w:rsidRDefault="00912D99"/>
    <w:p w:rsidR="00912D99" w:rsidRDefault="00E9611B">
      <w:pPr>
        <w:pStyle w:val="Ttulo1"/>
        <w:numPr>
          <w:ilvl w:val="0"/>
          <w:numId w:val="1"/>
        </w:numPr>
        <w:jc w:val="both"/>
        <w:rPr>
          <w:rFonts w:ascii="IBM Plex Sans" w:eastAsia="IBM Plex Sans" w:hAnsi="IBM Plex Sans" w:cs="IBM Plex Sans"/>
          <w:b/>
          <w:bCs/>
          <w:sz w:val="22"/>
          <w:szCs w:val="22"/>
        </w:rPr>
      </w:pPr>
      <w:bookmarkStart w:id="16" w:name="_heading=h.4cg3yeltrzek" w:colFirst="0" w:colLast="0"/>
      <w:bookmarkEnd w:id="16"/>
      <w:r>
        <w:rPr>
          <w:rFonts w:ascii="IBM Plex Sans" w:eastAsia="IBM Plex Sans" w:hAnsi="IBM Plex Sans" w:cs="IBM Plex Sans"/>
          <w:b/>
          <w:bCs/>
          <w:sz w:val="22"/>
          <w:szCs w:val="22"/>
        </w:rPr>
        <w:t>Alineación estratégica</w:t>
      </w:r>
    </w:p>
    <w:p w:rsidR="00912D99" w:rsidRDefault="00E9611B">
      <w:pPr>
        <w:widowControl w:val="0"/>
        <w:pBdr>
          <w:top w:val="nil"/>
          <w:left w:val="nil"/>
          <w:bottom w:val="nil"/>
          <w:right w:val="nil"/>
          <w:between w:val="nil"/>
        </w:pBdr>
        <w:spacing w:before="306" w:line="246" w:lineRule="auto"/>
        <w:ind w:right="281"/>
        <w:jc w:val="both"/>
      </w:pPr>
      <w:r>
        <w:t xml:space="preserve">El Plan de Austeridad del Gasto Institucional se encuentra estratégicamente alineado </w:t>
      </w:r>
      <w:r>
        <w:t>con el objetivo estratégico de la Empresa “Optimizar la planeación y gestión institucional orientada a resultados”, definido en el Plan Estratégico – Revitalización Urbana 2024–2027, constituyéndose en un instrumento clave para el fortalecimiento del desem</w:t>
      </w:r>
      <w:r>
        <w:t>peño institucional y el uso eficiente de los recursos públicos.</w:t>
      </w:r>
    </w:p>
    <w:p w:rsidR="00912D99" w:rsidRDefault="00E9611B">
      <w:pPr>
        <w:widowControl w:val="0"/>
        <w:pBdr>
          <w:top w:val="nil"/>
          <w:left w:val="nil"/>
          <w:bottom w:val="nil"/>
          <w:right w:val="nil"/>
          <w:between w:val="nil"/>
        </w:pBdr>
        <w:spacing w:before="306" w:line="246" w:lineRule="auto"/>
        <w:ind w:right="281"/>
        <w:jc w:val="both"/>
      </w:pPr>
      <w:r>
        <w:t>Esta alineación permite que las acciones y medidas contempladas en el Plan de Austeridad contribuyan directamente a mejorar la gestión institucional, mediante la implementación de prácticas or</w:t>
      </w:r>
      <w:r>
        <w:t>ientadas a la racionalización del gasto, la eficiencia administrativa y la optimización de los procesos internos, garantizando la adecuada asignación y ejecución de los recursos en función de los resultados esperados.</w:t>
      </w:r>
    </w:p>
    <w:p w:rsidR="00912D99" w:rsidRDefault="00E9611B">
      <w:pPr>
        <w:widowControl w:val="0"/>
        <w:pBdr>
          <w:top w:val="nil"/>
          <w:left w:val="nil"/>
          <w:bottom w:val="nil"/>
          <w:right w:val="nil"/>
          <w:between w:val="nil"/>
        </w:pBdr>
        <w:spacing w:before="306" w:line="246" w:lineRule="auto"/>
        <w:ind w:right="281"/>
        <w:jc w:val="both"/>
      </w:pPr>
      <w:r>
        <w:t>Asimismo, el Plan se articula de maner</w:t>
      </w:r>
      <w:r>
        <w:t xml:space="preserve">a transversal con las políticas de transparencia, integridad y racionalización del gasto público, en concordancia con los lineamientos del Modelo Integrado de Planeación y Gestión (MIPG), fortaleciendo los mecanismos de control, seguimiento y rendición de </w:t>
      </w:r>
      <w:r>
        <w:t>cuentas. El diagnóstico del Plan evidencia esta alineación estratégica al incorporar prácticas responsables de gestión del gasto, generación de información confiable y monitoreo permanente de los ahorros obtenidos.</w:t>
      </w:r>
    </w:p>
    <w:p w:rsidR="00912D99" w:rsidRDefault="00E9611B">
      <w:pPr>
        <w:widowControl w:val="0"/>
        <w:pBdr>
          <w:top w:val="nil"/>
          <w:left w:val="nil"/>
          <w:bottom w:val="nil"/>
          <w:right w:val="nil"/>
          <w:between w:val="nil"/>
        </w:pBdr>
        <w:spacing w:before="306" w:line="246" w:lineRule="auto"/>
        <w:ind w:right="281"/>
        <w:jc w:val="both"/>
        <w:sectPr w:rsidR="00912D99">
          <w:pgSz w:w="12240" w:h="15840"/>
          <w:pgMar w:top="708" w:right="788" w:bottom="1250" w:left="1702" w:header="0" w:footer="720" w:gutter="0"/>
          <w:pgNumType w:start="1"/>
          <w:cols w:space="720"/>
        </w:sectPr>
      </w:pPr>
      <w:bookmarkStart w:id="17" w:name="_heading=h.m2horpo505ic" w:colFirst="0" w:colLast="0"/>
      <w:bookmarkEnd w:id="17"/>
      <w:r>
        <w:t>En este sentido, el Pla</w:t>
      </w:r>
      <w:r>
        <w:t xml:space="preserve">n de Austeridad del Gasto Institucional se consolida como una herramienta de apoyo a la planeación estratégica de la Empresa, al contribuir al logro de los objetivos institucionales, promover una cultura organizacional orientada al ahorro y la eficiencia, </w:t>
      </w:r>
      <w:r>
        <w:t>y asegurar la sostenibilidad financiera y operativa en el marco de las políticas nacionales y distritales vigentes.</w:t>
      </w:r>
    </w:p>
    <w:p w:rsidR="00912D99" w:rsidRDefault="00E9611B">
      <w:pPr>
        <w:pStyle w:val="Ttulo1"/>
        <w:numPr>
          <w:ilvl w:val="0"/>
          <w:numId w:val="1"/>
        </w:numPr>
        <w:jc w:val="both"/>
        <w:rPr>
          <w:rFonts w:ascii="IBM Plex Sans" w:eastAsia="IBM Plex Sans" w:hAnsi="IBM Plex Sans" w:cs="IBM Plex Sans"/>
          <w:b/>
          <w:bCs/>
          <w:sz w:val="22"/>
          <w:szCs w:val="22"/>
        </w:rPr>
      </w:pPr>
      <w:bookmarkStart w:id="18" w:name="_heading=h.z8qodjdpss6" w:colFirst="0" w:colLast="0"/>
      <w:bookmarkEnd w:id="18"/>
      <w:r>
        <w:rPr>
          <w:rFonts w:ascii="IBM Plex Sans" w:eastAsia="IBM Plex Sans" w:hAnsi="IBM Plex Sans" w:cs="IBM Plex Sans"/>
          <w:b/>
          <w:bCs/>
          <w:sz w:val="22"/>
          <w:szCs w:val="22"/>
        </w:rPr>
        <w:lastRenderedPageBreak/>
        <w:t>Definiciones</w:t>
      </w:r>
    </w:p>
    <w:p w:rsidR="00912D99" w:rsidRDefault="00912D99">
      <w:pPr>
        <w:jc w:val="both"/>
        <w:rPr>
          <w:rFonts w:ascii="IBM Plex Sans" w:eastAsia="IBM Plex Sans" w:hAnsi="IBM Plex Sans" w:cs="IBM Plex Sans"/>
          <w:sz w:val="20"/>
          <w:szCs w:val="20"/>
        </w:rPr>
      </w:pPr>
    </w:p>
    <w:tbl>
      <w:tblPr>
        <w:tblStyle w:val="a9"/>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990"/>
      </w:tblGrid>
      <w:tr w:rsidR="00912D99">
        <w:trPr>
          <w:tblHeader/>
        </w:trPr>
        <w:tc>
          <w:tcPr>
            <w:tcW w:w="2405" w:type="dxa"/>
            <w:shd w:val="clear" w:color="auto" w:fill="EBF1DD"/>
          </w:tcPr>
          <w:p w:rsidR="00912D99" w:rsidRDefault="00912D99">
            <w:pPr>
              <w:spacing w:line="276" w:lineRule="auto"/>
              <w:jc w:val="center"/>
              <w:rPr>
                <w:rFonts w:ascii="Arial" w:eastAsia="Arial" w:hAnsi="Arial" w:cs="Arial"/>
                <w:b/>
                <w:bCs/>
                <w:sz w:val="19"/>
                <w:szCs w:val="19"/>
              </w:rPr>
            </w:pPr>
          </w:p>
          <w:p w:rsidR="00912D99" w:rsidRDefault="00E9611B">
            <w:pPr>
              <w:spacing w:line="276" w:lineRule="auto"/>
              <w:jc w:val="center"/>
              <w:rPr>
                <w:rFonts w:ascii="Arial" w:eastAsia="Arial" w:hAnsi="Arial" w:cs="Arial"/>
                <w:b/>
                <w:bCs/>
                <w:sz w:val="19"/>
                <w:szCs w:val="19"/>
              </w:rPr>
            </w:pPr>
            <w:r>
              <w:rPr>
                <w:rFonts w:ascii="Arial" w:eastAsia="Arial" w:hAnsi="Arial" w:cs="Arial"/>
                <w:b/>
                <w:bCs/>
                <w:sz w:val="19"/>
                <w:szCs w:val="19"/>
              </w:rPr>
              <w:t>Concepto</w:t>
            </w:r>
          </w:p>
          <w:p w:rsidR="00912D99" w:rsidRDefault="00912D99">
            <w:pPr>
              <w:spacing w:line="276" w:lineRule="auto"/>
              <w:jc w:val="center"/>
              <w:rPr>
                <w:rFonts w:ascii="IBM Plex Sans" w:eastAsia="IBM Plex Sans" w:hAnsi="IBM Plex Sans" w:cs="IBM Plex Sans"/>
                <w:b/>
                <w:bCs/>
              </w:rPr>
            </w:pPr>
          </w:p>
        </w:tc>
        <w:tc>
          <w:tcPr>
            <w:tcW w:w="6990" w:type="dxa"/>
            <w:shd w:val="clear" w:color="auto" w:fill="EBF1DD"/>
          </w:tcPr>
          <w:p w:rsidR="00912D99" w:rsidRDefault="00912D99">
            <w:pPr>
              <w:spacing w:line="276" w:lineRule="auto"/>
              <w:jc w:val="center"/>
              <w:rPr>
                <w:rFonts w:ascii="Arial" w:eastAsia="Arial" w:hAnsi="Arial" w:cs="Arial"/>
                <w:b/>
                <w:bCs/>
                <w:sz w:val="19"/>
                <w:szCs w:val="19"/>
              </w:rPr>
            </w:pPr>
          </w:p>
          <w:p w:rsidR="00912D99" w:rsidRDefault="00E9611B">
            <w:pPr>
              <w:spacing w:line="276" w:lineRule="auto"/>
              <w:jc w:val="center"/>
              <w:rPr>
                <w:rFonts w:ascii="IBM Plex Sans" w:eastAsia="IBM Plex Sans" w:hAnsi="IBM Plex Sans" w:cs="IBM Plex Sans"/>
                <w:b/>
                <w:bCs/>
              </w:rPr>
            </w:pPr>
            <w:r>
              <w:rPr>
                <w:rFonts w:ascii="Arial" w:eastAsia="Arial" w:hAnsi="Arial" w:cs="Arial"/>
                <w:b/>
                <w:bCs/>
                <w:sz w:val="19"/>
                <w:szCs w:val="19"/>
              </w:rPr>
              <w:t>Definición</w:t>
            </w:r>
          </w:p>
        </w:tc>
      </w:tr>
      <w:tr w:rsidR="00912D99">
        <w:tc>
          <w:tcPr>
            <w:tcW w:w="2405" w:type="dxa"/>
            <w:shd w:val="clear" w:color="auto" w:fill="auto"/>
          </w:tcPr>
          <w:p w:rsidR="00912D99" w:rsidRDefault="00912D99">
            <w:pPr>
              <w:spacing w:line="276" w:lineRule="auto"/>
              <w:jc w:val="center"/>
              <w:rPr>
                <w:rFonts w:ascii="Arial" w:eastAsia="Arial" w:hAnsi="Arial" w:cs="Arial"/>
                <w:b/>
                <w:bCs/>
                <w:sz w:val="19"/>
                <w:szCs w:val="19"/>
              </w:rPr>
            </w:pPr>
          </w:p>
          <w:p w:rsidR="00912D99" w:rsidRDefault="00912D99">
            <w:pPr>
              <w:spacing w:line="276" w:lineRule="auto"/>
              <w:jc w:val="center"/>
              <w:rPr>
                <w:rFonts w:ascii="Arial" w:eastAsia="Arial" w:hAnsi="Arial" w:cs="Arial"/>
                <w:b/>
                <w:bCs/>
                <w:sz w:val="19"/>
                <w:szCs w:val="19"/>
              </w:rPr>
            </w:pPr>
          </w:p>
          <w:p w:rsidR="00912D99" w:rsidRDefault="00E9611B">
            <w:pPr>
              <w:spacing w:line="276" w:lineRule="auto"/>
              <w:jc w:val="center"/>
              <w:rPr>
                <w:rFonts w:ascii="IBM Plex Sans" w:eastAsia="IBM Plex Sans" w:hAnsi="IBM Plex Sans" w:cs="IBM Plex Sans"/>
              </w:rPr>
            </w:pPr>
            <w:r>
              <w:rPr>
                <w:rFonts w:ascii="Arial" w:eastAsia="Arial" w:hAnsi="Arial" w:cs="Arial"/>
                <w:b/>
                <w:bCs/>
                <w:sz w:val="19"/>
                <w:szCs w:val="19"/>
              </w:rPr>
              <w:t>Austeridad</w:t>
            </w:r>
          </w:p>
        </w:tc>
        <w:tc>
          <w:tcPr>
            <w:tcW w:w="6990" w:type="dxa"/>
          </w:tcPr>
          <w:p w:rsidR="00912D99" w:rsidRDefault="00E9611B">
            <w:pPr>
              <w:spacing w:line="276" w:lineRule="auto"/>
              <w:jc w:val="both"/>
              <w:rPr>
                <w:rFonts w:ascii="IBM Plex Sans" w:eastAsia="IBM Plex Sans" w:hAnsi="IBM Plex Sans" w:cs="IBM Plex Sans"/>
              </w:rPr>
            </w:pPr>
            <w:r>
              <w:rPr>
                <w:rFonts w:ascii="Arial" w:eastAsia="Arial" w:hAnsi="Arial" w:cs="Arial"/>
                <w:b/>
                <w:bCs/>
                <w:color w:val="000000"/>
                <w:sz w:val="19"/>
                <w:szCs w:val="19"/>
              </w:rPr>
              <w:t>El decreto 062 del 9 de febrero de 2024, ordena implementar medidas de austeridad y eficiencia del gasto público en las entidades y organismos de la administración</w:t>
            </w:r>
            <w:r>
              <w:rPr>
                <w:rFonts w:ascii="Arial" w:eastAsia="Arial" w:hAnsi="Arial" w:cs="Arial"/>
                <w:color w:val="000000"/>
                <w:sz w:val="19"/>
                <w:szCs w:val="19"/>
              </w:rPr>
              <w:t xml:space="preserve"> distrital con el fin de racionalizar el uso de los recursos públicos aplicando criterios de </w:t>
            </w:r>
            <w:r>
              <w:rPr>
                <w:rFonts w:ascii="Arial" w:eastAsia="Arial" w:hAnsi="Arial" w:cs="Arial"/>
                <w:color w:val="000000"/>
                <w:sz w:val="19"/>
                <w:szCs w:val="19"/>
              </w:rPr>
              <w:t>eficiencia, eficacia y economía en el desarrollo de la gestión de dichos organismos.</w:t>
            </w:r>
          </w:p>
        </w:tc>
      </w:tr>
      <w:tr w:rsidR="00912D99">
        <w:tc>
          <w:tcPr>
            <w:tcW w:w="2405" w:type="dxa"/>
            <w:shd w:val="clear" w:color="auto" w:fill="auto"/>
          </w:tcPr>
          <w:p w:rsidR="00912D99" w:rsidRDefault="00912D99">
            <w:pPr>
              <w:spacing w:line="276" w:lineRule="auto"/>
              <w:jc w:val="center"/>
              <w:rPr>
                <w:rFonts w:ascii="Arial" w:eastAsia="Arial" w:hAnsi="Arial" w:cs="Arial"/>
                <w:b/>
                <w:bCs/>
                <w:sz w:val="19"/>
                <w:szCs w:val="19"/>
              </w:rPr>
            </w:pPr>
          </w:p>
          <w:p w:rsidR="00912D99" w:rsidRDefault="00912D99">
            <w:pPr>
              <w:spacing w:line="276" w:lineRule="auto"/>
              <w:jc w:val="center"/>
              <w:rPr>
                <w:rFonts w:ascii="Arial" w:eastAsia="Arial" w:hAnsi="Arial" w:cs="Arial"/>
                <w:b/>
                <w:bCs/>
                <w:sz w:val="19"/>
                <w:szCs w:val="19"/>
              </w:rPr>
            </w:pPr>
          </w:p>
          <w:p w:rsidR="00912D99" w:rsidRDefault="00912D99">
            <w:pPr>
              <w:spacing w:line="276" w:lineRule="auto"/>
              <w:jc w:val="center"/>
              <w:rPr>
                <w:rFonts w:ascii="Arial" w:eastAsia="Arial" w:hAnsi="Arial" w:cs="Arial"/>
                <w:b/>
                <w:bCs/>
                <w:sz w:val="19"/>
                <w:szCs w:val="19"/>
              </w:rPr>
            </w:pPr>
          </w:p>
          <w:p w:rsidR="00912D99" w:rsidRDefault="00E9611B">
            <w:pPr>
              <w:spacing w:line="276" w:lineRule="auto"/>
              <w:jc w:val="center"/>
              <w:rPr>
                <w:rFonts w:ascii="IBM Plex Sans" w:eastAsia="IBM Plex Sans" w:hAnsi="IBM Plex Sans" w:cs="IBM Plex Sans"/>
              </w:rPr>
            </w:pPr>
            <w:r>
              <w:rPr>
                <w:rFonts w:ascii="Arial" w:eastAsia="Arial" w:hAnsi="Arial" w:cs="Arial"/>
                <w:b/>
                <w:bCs/>
                <w:sz w:val="19"/>
                <w:szCs w:val="19"/>
              </w:rPr>
              <w:t xml:space="preserve">Gasto </w:t>
            </w:r>
            <w:proofErr w:type="gramStart"/>
            <w:r>
              <w:rPr>
                <w:rFonts w:ascii="Arial" w:eastAsia="Arial" w:hAnsi="Arial" w:cs="Arial"/>
                <w:b/>
                <w:bCs/>
                <w:sz w:val="19"/>
                <w:szCs w:val="19"/>
              </w:rPr>
              <w:t>de  funcionamiento</w:t>
            </w:r>
            <w:proofErr w:type="gramEnd"/>
          </w:p>
        </w:tc>
        <w:tc>
          <w:tcPr>
            <w:tcW w:w="6990" w:type="dxa"/>
          </w:tcPr>
          <w:p w:rsidR="00912D99" w:rsidRDefault="00E9611B">
            <w:pPr>
              <w:spacing w:line="276" w:lineRule="auto"/>
              <w:jc w:val="both"/>
              <w:rPr>
                <w:rFonts w:ascii="IBM Plex Sans" w:eastAsia="IBM Plex Sans" w:hAnsi="IBM Plex Sans" w:cs="IBM Plex Sans"/>
              </w:rPr>
            </w:pPr>
            <w:r>
              <w:rPr>
                <w:rFonts w:ascii="Arial" w:eastAsia="Arial" w:hAnsi="Arial" w:cs="Arial"/>
                <w:color w:val="000000"/>
                <w:sz w:val="19"/>
                <w:szCs w:val="19"/>
              </w:rPr>
              <w:t>Según el concepto 2019ER9178 expedido por la Secretaría de Hacienda Distrital, “los gastos de funcionamiento están constituidos por aquellas erogaciones que deben realizar las entidades públicas para garantizar el normal funcionamiento de su aparato admini</w:t>
            </w:r>
            <w:r>
              <w:rPr>
                <w:rFonts w:ascii="Arial" w:eastAsia="Arial" w:hAnsi="Arial" w:cs="Arial"/>
                <w:color w:val="000000"/>
                <w:sz w:val="19"/>
                <w:szCs w:val="19"/>
              </w:rPr>
              <w:t xml:space="preserve">strativo y se clasifican en gastos de personal y gastos generales. De la primera categoría forman parte, </w:t>
            </w:r>
            <w:proofErr w:type="gramStart"/>
            <w:r>
              <w:rPr>
                <w:rFonts w:ascii="Arial" w:eastAsia="Arial" w:hAnsi="Arial" w:cs="Arial"/>
                <w:color w:val="000000"/>
                <w:sz w:val="19"/>
                <w:szCs w:val="19"/>
              </w:rPr>
              <w:t>los  relativos</w:t>
            </w:r>
            <w:proofErr w:type="gramEnd"/>
            <w:r>
              <w:rPr>
                <w:rFonts w:ascii="Arial" w:eastAsia="Arial" w:hAnsi="Arial" w:cs="Arial"/>
                <w:color w:val="000000"/>
                <w:sz w:val="19"/>
                <w:szCs w:val="19"/>
              </w:rPr>
              <w:t xml:space="preserve"> al pago de servicios personales asociados a la nómina, las  contribuciones inherentes a ésta y los servicios personales indirectos y, de</w:t>
            </w:r>
            <w:r>
              <w:rPr>
                <w:rFonts w:ascii="Arial" w:eastAsia="Arial" w:hAnsi="Arial" w:cs="Arial"/>
                <w:color w:val="000000"/>
                <w:sz w:val="19"/>
                <w:szCs w:val="19"/>
              </w:rPr>
              <w:t xml:space="preserve"> la  segunda, los gastos destinados a la adquisición de bienes y servicios y al  pago de impuestos, multas y transferencias”.</w:t>
            </w:r>
          </w:p>
        </w:tc>
      </w:tr>
      <w:tr w:rsidR="00912D99">
        <w:tc>
          <w:tcPr>
            <w:tcW w:w="2405" w:type="dxa"/>
            <w:shd w:val="clear" w:color="auto" w:fill="auto"/>
          </w:tcPr>
          <w:p w:rsidR="00912D99" w:rsidRDefault="00912D99">
            <w:pPr>
              <w:spacing w:line="276" w:lineRule="auto"/>
              <w:jc w:val="center"/>
              <w:rPr>
                <w:rFonts w:ascii="Arial" w:eastAsia="Arial" w:hAnsi="Arial" w:cs="Arial"/>
                <w:b/>
                <w:bCs/>
                <w:sz w:val="19"/>
                <w:szCs w:val="19"/>
              </w:rPr>
            </w:pPr>
          </w:p>
          <w:p w:rsidR="00912D99" w:rsidRDefault="00E9611B">
            <w:pPr>
              <w:spacing w:line="276" w:lineRule="auto"/>
              <w:jc w:val="center"/>
              <w:rPr>
                <w:rFonts w:ascii="IBM Plex Sans" w:eastAsia="IBM Plex Sans" w:hAnsi="IBM Plex Sans" w:cs="IBM Plex Sans"/>
              </w:rPr>
            </w:pPr>
            <w:r>
              <w:rPr>
                <w:rFonts w:ascii="Arial" w:eastAsia="Arial" w:hAnsi="Arial" w:cs="Arial"/>
                <w:b/>
                <w:bCs/>
                <w:sz w:val="19"/>
                <w:szCs w:val="19"/>
              </w:rPr>
              <w:t xml:space="preserve">Proyectos de inversión pública en </w:t>
            </w:r>
            <w:proofErr w:type="gramStart"/>
            <w:r>
              <w:rPr>
                <w:rFonts w:ascii="Arial" w:eastAsia="Arial" w:hAnsi="Arial" w:cs="Arial"/>
                <w:b/>
                <w:bCs/>
                <w:sz w:val="19"/>
                <w:szCs w:val="19"/>
              </w:rPr>
              <w:t>fortalecimiento  Institucional</w:t>
            </w:r>
            <w:proofErr w:type="gramEnd"/>
          </w:p>
        </w:tc>
        <w:tc>
          <w:tcPr>
            <w:tcW w:w="6990" w:type="dxa"/>
          </w:tcPr>
          <w:p w:rsidR="00912D99" w:rsidRDefault="00E9611B">
            <w:pPr>
              <w:spacing w:line="276" w:lineRule="auto"/>
              <w:jc w:val="both"/>
              <w:rPr>
                <w:rFonts w:ascii="IBM Plex Sans" w:eastAsia="IBM Plex Sans" w:hAnsi="IBM Plex Sans" w:cs="IBM Plex Sans"/>
              </w:rPr>
            </w:pPr>
            <w:r>
              <w:rPr>
                <w:rFonts w:ascii="Arial" w:eastAsia="Arial" w:hAnsi="Arial" w:cs="Arial"/>
                <w:color w:val="000000"/>
                <w:sz w:val="19"/>
                <w:szCs w:val="19"/>
              </w:rPr>
              <w:t xml:space="preserve">Se entiende por inversión pública la aplicación de un conjunto </w:t>
            </w:r>
            <w:r>
              <w:rPr>
                <w:rFonts w:ascii="Arial" w:eastAsia="Arial" w:hAnsi="Arial" w:cs="Arial"/>
                <w:color w:val="000000"/>
                <w:sz w:val="19"/>
                <w:szCs w:val="19"/>
              </w:rPr>
              <w:t xml:space="preserve">de </w:t>
            </w:r>
            <w:proofErr w:type="gramStart"/>
            <w:r>
              <w:rPr>
                <w:rFonts w:ascii="Arial" w:eastAsia="Arial" w:hAnsi="Arial" w:cs="Arial"/>
                <w:color w:val="000000"/>
                <w:sz w:val="19"/>
                <w:szCs w:val="19"/>
              </w:rPr>
              <w:t>recursos  públicos</w:t>
            </w:r>
            <w:proofErr w:type="gramEnd"/>
            <w:r>
              <w:rPr>
                <w:rFonts w:ascii="Arial" w:eastAsia="Arial" w:hAnsi="Arial" w:cs="Arial"/>
                <w:color w:val="000000"/>
                <w:sz w:val="19"/>
                <w:szCs w:val="19"/>
              </w:rPr>
              <w:t xml:space="preserve"> orientados al mejoramiento del bienestar general y la satisfacción de  las necesidades de la población, mediante la producción o prestación de  bienes y servicios a cargo del Estado, o mediante la transferencia de  recursos, siempre q</w:t>
            </w:r>
            <w:r>
              <w:rPr>
                <w:rFonts w:ascii="Arial" w:eastAsia="Arial" w:hAnsi="Arial" w:cs="Arial"/>
                <w:color w:val="000000"/>
                <w:sz w:val="19"/>
                <w:szCs w:val="19"/>
              </w:rPr>
              <w:t>ue se establezca claramente un cambio positivo en las  condiciones previas imputable a la aplicación de estos recursos, en un tiempo  determinado.</w:t>
            </w:r>
          </w:p>
        </w:tc>
      </w:tr>
      <w:tr w:rsidR="00912D99">
        <w:tc>
          <w:tcPr>
            <w:tcW w:w="2405" w:type="dxa"/>
            <w:shd w:val="clear" w:color="auto" w:fill="auto"/>
          </w:tcPr>
          <w:p w:rsidR="00912D99" w:rsidRDefault="00912D99">
            <w:pPr>
              <w:jc w:val="center"/>
              <w:rPr>
                <w:rFonts w:ascii="Arial" w:eastAsia="Arial" w:hAnsi="Arial" w:cs="Arial"/>
                <w:b/>
                <w:bCs/>
                <w:sz w:val="19"/>
                <w:szCs w:val="19"/>
              </w:rPr>
            </w:pPr>
          </w:p>
          <w:p w:rsidR="00912D99" w:rsidRDefault="00912D99">
            <w:pPr>
              <w:jc w:val="center"/>
              <w:rPr>
                <w:rFonts w:ascii="Arial" w:eastAsia="Arial" w:hAnsi="Arial" w:cs="Arial"/>
                <w:b/>
                <w:bCs/>
                <w:sz w:val="19"/>
                <w:szCs w:val="19"/>
              </w:rPr>
            </w:pPr>
          </w:p>
          <w:p w:rsidR="00912D99" w:rsidRDefault="00E9611B">
            <w:pPr>
              <w:jc w:val="center"/>
              <w:rPr>
                <w:rFonts w:ascii="IBM Plex Sans" w:eastAsia="IBM Plex Sans" w:hAnsi="IBM Plex Sans" w:cs="IBM Plex Sans"/>
              </w:rPr>
            </w:pPr>
            <w:r>
              <w:rPr>
                <w:rFonts w:ascii="Arial" w:eastAsia="Arial" w:hAnsi="Arial" w:cs="Arial"/>
                <w:b/>
                <w:bCs/>
                <w:sz w:val="19"/>
                <w:szCs w:val="19"/>
              </w:rPr>
              <w:t xml:space="preserve">Plan Anual </w:t>
            </w:r>
            <w:proofErr w:type="gramStart"/>
            <w:r>
              <w:rPr>
                <w:rFonts w:ascii="Arial" w:eastAsia="Arial" w:hAnsi="Arial" w:cs="Arial"/>
                <w:b/>
                <w:bCs/>
                <w:sz w:val="19"/>
                <w:szCs w:val="19"/>
              </w:rPr>
              <w:t>de  Adquisiciones</w:t>
            </w:r>
            <w:proofErr w:type="gramEnd"/>
          </w:p>
        </w:tc>
        <w:tc>
          <w:tcPr>
            <w:tcW w:w="6990" w:type="dxa"/>
          </w:tcPr>
          <w:p w:rsidR="00912D99" w:rsidRDefault="00E9611B">
            <w:pPr>
              <w:jc w:val="both"/>
              <w:rPr>
                <w:rFonts w:ascii="IBM Plex Sans" w:eastAsia="IBM Plex Sans" w:hAnsi="IBM Plex Sans" w:cs="IBM Plex Sans"/>
              </w:rPr>
            </w:pPr>
            <w:r>
              <w:rPr>
                <w:rFonts w:ascii="Arial" w:eastAsia="Arial" w:hAnsi="Arial" w:cs="Arial"/>
                <w:color w:val="000000"/>
                <w:sz w:val="19"/>
                <w:szCs w:val="19"/>
              </w:rPr>
              <w:t>De acuerdo con la Agencia Nacional de Contratación Pública Colombia  Compra E</w:t>
            </w:r>
            <w:r>
              <w:rPr>
                <w:rFonts w:ascii="Arial" w:eastAsia="Arial" w:hAnsi="Arial" w:cs="Arial"/>
                <w:color w:val="000000"/>
                <w:sz w:val="19"/>
                <w:szCs w:val="19"/>
              </w:rPr>
              <w:t xml:space="preserve">ficiente, el Plan Anual de Adquisiciones “es una herramienta de  planeación que permite (i) a las Entidades Estatales indistintamente de su  régimen de contratación, facilitar, identificar, registrar, programar y divulgar  sus necesidades de bienes, obras </w:t>
            </w:r>
            <w:r>
              <w:rPr>
                <w:rFonts w:ascii="Arial" w:eastAsia="Arial" w:hAnsi="Arial" w:cs="Arial"/>
                <w:color w:val="000000"/>
                <w:sz w:val="19"/>
                <w:szCs w:val="19"/>
              </w:rPr>
              <w:t>y servicios; y (</w:t>
            </w:r>
            <w:proofErr w:type="spellStart"/>
            <w:r>
              <w:rPr>
                <w:rFonts w:ascii="Arial" w:eastAsia="Arial" w:hAnsi="Arial" w:cs="Arial"/>
                <w:color w:val="000000"/>
                <w:sz w:val="19"/>
                <w:szCs w:val="19"/>
              </w:rPr>
              <w:t>ii</w:t>
            </w:r>
            <w:proofErr w:type="spellEnd"/>
            <w:r>
              <w:rPr>
                <w:rFonts w:ascii="Arial" w:eastAsia="Arial" w:hAnsi="Arial" w:cs="Arial"/>
                <w:color w:val="000000"/>
                <w:sz w:val="19"/>
                <w:szCs w:val="19"/>
              </w:rPr>
              <w:t>) al Estado a través de  Colombia Compra Eficiente, diseñar estrategias de contratación basadas en  agregación de la demanda que permitan incrementar la eficiencia del proceso  de contratación”.</w:t>
            </w:r>
          </w:p>
        </w:tc>
      </w:tr>
      <w:tr w:rsidR="00912D99">
        <w:tc>
          <w:tcPr>
            <w:tcW w:w="2405" w:type="dxa"/>
            <w:shd w:val="clear" w:color="auto" w:fill="auto"/>
          </w:tcPr>
          <w:p w:rsidR="00912D99" w:rsidRDefault="00912D99">
            <w:pPr>
              <w:jc w:val="center"/>
              <w:rPr>
                <w:rFonts w:ascii="Arial" w:eastAsia="Arial" w:hAnsi="Arial" w:cs="Arial"/>
                <w:b/>
                <w:bCs/>
                <w:sz w:val="19"/>
                <w:szCs w:val="19"/>
              </w:rPr>
            </w:pPr>
          </w:p>
          <w:p w:rsidR="00912D99" w:rsidRDefault="00E9611B">
            <w:pPr>
              <w:jc w:val="center"/>
              <w:rPr>
                <w:rFonts w:ascii="IBM Plex Sans" w:eastAsia="IBM Plex Sans" w:hAnsi="IBM Plex Sans" w:cs="IBM Plex Sans"/>
              </w:rPr>
            </w:pPr>
            <w:r>
              <w:rPr>
                <w:rFonts w:ascii="Arial" w:eastAsia="Arial" w:hAnsi="Arial" w:cs="Arial"/>
                <w:b/>
                <w:bCs/>
                <w:sz w:val="19"/>
                <w:szCs w:val="19"/>
              </w:rPr>
              <w:t>Presupuesto anual</w:t>
            </w:r>
          </w:p>
        </w:tc>
        <w:tc>
          <w:tcPr>
            <w:tcW w:w="6990" w:type="dxa"/>
          </w:tcPr>
          <w:p w:rsidR="00912D99" w:rsidRDefault="00E9611B">
            <w:pPr>
              <w:jc w:val="both"/>
              <w:rPr>
                <w:rFonts w:ascii="IBM Plex Sans" w:eastAsia="IBM Plex Sans" w:hAnsi="IBM Plex Sans" w:cs="IBM Plex Sans"/>
              </w:rPr>
            </w:pPr>
            <w:r>
              <w:rPr>
                <w:rFonts w:ascii="Arial" w:eastAsia="Arial" w:hAnsi="Arial" w:cs="Arial"/>
                <w:color w:val="000000"/>
                <w:sz w:val="19"/>
                <w:szCs w:val="19"/>
              </w:rPr>
              <w:t xml:space="preserve">Según el Manual Operativo Presupuestal de las Empresas Industriales </w:t>
            </w:r>
            <w:proofErr w:type="gramStart"/>
            <w:r>
              <w:rPr>
                <w:rFonts w:ascii="Arial" w:eastAsia="Arial" w:hAnsi="Arial" w:cs="Arial"/>
                <w:color w:val="000000"/>
                <w:sz w:val="19"/>
                <w:szCs w:val="19"/>
              </w:rPr>
              <w:t>y  Comerciales</w:t>
            </w:r>
            <w:proofErr w:type="gramEnd"/>
            <w:r>
              <w:rPr>
                <w:rFonts w:ascii="Arial" w:eastAsia="Arial" w:hAnsi="Arial" w:cs="Arial"/>
                <w:color w:val="000000"/>
                <w:sz w:val="19"/>
                <w:szCs w:val="19"/>
              </w:rPr>
              <w:t xml:space="preserve"> del Distrito, “Es el instrumento financiero para el cumplimiento  del Plan de Desarrollo durante una vigencia fiscal”.</w:t>
            </w:r>
          </w:p>
        </w:tc>
      </w:tr>
      <w:tr w:rsidR="00912D99">
        <w:tc>
          <w:tcPr>
            <w:tcW w:w="2405" w:type="dxa"/>
            <w:shd w:val="clear" w:color="auto" w:fill="auto"/>
          </w:tcPr>
          <w:p w:rsidR="00912D99" w:rsidRDefault="00912D99">
            <w:pPr>
              <w:jc w:val="center"/>
              <w:rPr>
                <w:rFonts w:ascii="Arial" w:eastAsia="Arial" w:hAnsi="Arial" w:cs="Arial"/>
                <w:b/>
                <w:bCs/>
                <w:sz w:val="19"/>
                <w:szCs w:val="19"/>
              </w:rPr>
            </w:pPr>
          </w:p>
          <w:p w:rsidR="00912D99" w:rsidRDefault="00912D99">
            <w:pPr>
              <w:jc w:val="center"/>
              <w:rPr>
                <w:rFonts w:ascii="Arial" w:eastAsia="Arial" w:hAnsi="Arial" w:cs="Arial"/>
                <w:b/>
                <w:bCs/>
                <w:sz w:val="19"/>
                <w:szCs w:val="19"/>
              </w:rPr>
            </w:pPr>
          </w:p>
          <w:p w:rsidR="00912D99" w:rsidRDefault="00E9611B">
            <w:pPr>
              <w:jc w:val="center"/>
              <w:rPr>
                <w:rFonts w:ascii="IBM Plex Sans" w:eastAsia="IBM Plex Sans" w:hAnsi="IBM Plex Sans" w:cs="IBM Plex Sans"/>
              </w:rPr>
            </w:pPr>
            <w:r>
              <w:rPr>
                <w:rFonts w:ascii="Arial" w:eastAsia="Arial" w:hAnsi="Arial" w:cs="Arial"/>
                <w:b/>
                <w:bCs/>
                <w:sz w:val="19"/>
                <w:szCs w:val="19"/>
              </w:rPr>
              <w:t>Principio de economía</w:t>
            </w:r>
          </w:p>
        </w:tc>
        <w:tc>
          <w:tcPr>
            <w:tcW w:w="6990" w:type="dxa"/>
          </w:tcPr>
          <w:p w:rsidR="00912D99" w:rsidRDefault="00E9611B">
            <w:pPr>
              <w:jc w:val="both"/>
              <w:rPr>
                <w:rFonts w:ascii="IBM Plex Sans" w:eastAsia="IBM Plex Sans" w:hAnsi="IBM Plex Sans" w:cs="IBM Plex Sans"/>
              </w:rPr>
            </w:pPr>
            <w:r>
              <w:rPr>
                <w:rFonts w:ascii="Arial" w:eastAsia="Arial" w:hAnsi="Arial" w:cs="Arial"/>
                <w:color w:val="000000"/>
                <w:sz w:val="19"/>
                <w:szCs w:val="19"/>
              </w:rPr>
              <w:t>Según el Plan de austeridad d</w:t>
            </w:r>
            <w:r>
              <w:rPr>
                <w:rFonts w:ascii="Arial" w:eastAsia="Arial" w:hAnsi="Arial" w:cs="Arial"/>
                <w:color w:val="000000"/>
                <w:sz w:val="19"/>
                <w:szCs w:val="19"/>
              </w:rPr>
              <w:t xml:space="preserve">el gasto público del sector gobierno </w:t>
            </w:r>
            <w:proofErr w:type="gramStart"/>
            <w:r>
              <w:rPr>
                <w:rFonts w:ascii="Arial" w:eastAsia="Arial" w:hAnsi="Arial" w:cs="Arial"/>
                <w:color w:val="000000"/>
                <w:sz w:val="19"/>
                <w:szCs w:val="19"/>
              </w:rPr>
              <w:t>2020  formulado</w:t>
            </w:r>
            <w:proofErr w:type="gramEnd"/>
            <w:r>
              <w:rPr>
                <w:rFonts w:ascii="Arial" w:eastAsia="Arial" w:hAnsi="Arial" w:cs="Arial"/>
                <w:color w:val="000000"/>
                <w:sz w:val="19"/>
                <w:szCs w:val="19"/>
              </w:rPr>
              <w:t xml:space="preserve"> por la Secretaría Distrital de Gobierno, el principio de economía  “Hace referencia a que todas las actividades administrativas se realicen de  forma eficiente y buscando los mejores resultados en el men</w:t>
            </w:r>
            <w:r>
              <w:rPr>
                <w:rFonts w:ascii="Arial" w:eastAsia="Arial" w:hAnsi="Arial" w:cs="Arial"/>
                <w:color w:val="000000"/>
                <w:sz w:val="19"/>
                <w:szCs w:val="19"/>
              </w:rPr>
              <w:t>or tiempo  posible, con la menor cantidad de recursos y los menores costos para el  presupuesto”.</w:t>
            </w:r>
          </w:p>
        </w:tc>
      </w:tr>
      <w:tr w:rsidR="00912D99">
        <w:tc>
          <w:tcPr>
            <w:tcW w:w="2405" w:type="dxa"/>
            <w:shd w:val="clear" w:color="auto" w:fill="auto"/>
          </w:tcPr>
          <w:p w:rsidR="00912D99" w:rsidRDefault="00912D99">
            <w:pPr>
              <w:jc w:val="center"/>
              <w:rPr>
                <w:rFonts w:ascii="Arial" w:eastAsia="Arial" w:hAnsi="Arial" w:cs="Arial"/>
                <w:b/>
                <w:bCs/>
                <w:sz w:val="19"/>
                <w:szCs w:val="19"/>
              </w:rPr>
            </w:pPr>
          </w:p>
          <w:p w:rsidR="00912D99" w:rsidRDefault="00912D99">
            <w:pPr>
              <w:jc w:val="center"/>
              <w:rPr>
                <w:rFonts w:ascii="Arial" w:eastAsia="Arial" w:hAnsi="Arial" w:cs="Arial"/>
                <w:b/>
                <w:bCs/>
                <w:sz w:val="19"/>
                <w:szCs w:val="19"/>
              </w:rPr>
            </w:pPr>
          </w:p>
          <w:p w:rsidR="00912D99" w:rsidRDefault="00E9611B">
            <w:pPr>
              <w:jc w:val="center"/>
              <w:rPr>
                <w:rFonts w:ascii="IBM Plex Sans" w:eastAsia="IBM Plex Sans" w:hAnsi="IBM Plex Sans" w:cs="IBM Plex Sans"/>
              </w:rPr>
            </w:pPr>
            <w:r>
              <w:rPr>
                <w:rFonts w:ascii="Arial" w:eastAsia="Arial" w:hAnsi="Arial" w:cs="Arial"/>
                <w:b/>
                <w:bCs/>
                <w:sz w:val="19"/>
                <w:szCs w:val="19"/>
              </w:rPr>
              <w:t>Racionalización</w:t>
            </w:r>
          </w:p>
        </w:tc>
        <w:tc>
          <w:tcPr>
            <w:tcW w:w="6990" w:type="dxa"/>
          </w:tcPr>
          <w:p w:rsidR="00912D99" w:rsidRDefault="00E9611B">
            <w:pPr>
              <w:jc w:val="both"/>
              <w:rPr>
                <w:rFonts w:ascii="IBM Plex Sans" w:eastAsia="IBM Plex Sans" w:hAnsi="IBM Plex Sans" w:cs="IBM Plex Sans"/>
              </w:rPr>
            </w:pPr>
            <w:r>
              <w:rPr>
                <w:rFonts w:ascii="Arial" w:eastAsia="Arial" w:hAnsi="Arial" w:cs="Arial"/>
                <w:color w:val="000000"/>
                <w:sz w:val="19"/>
                <w:szCs w:val="19"/>
              </w:rPr>
              <w:t xml:space="preserve">De acuerdo con el Plan de austeridad del gasto público del sector </w:t>
            </w:r>
            <w:proofErr w:type="gramStart"/>
            <w:r>
              <w:rPr>
                <w:rFonts w:ascii="Arial" w:eastAsia="Arial" w:hAnsi="Arial" w:cs="Arial"/>
                <w:color w:val="000000"/>
                <w:sz w:val="19"/>
                <w:szCs w:val="19"/>
              </w:rPr>
              <w:t>gobierno  2020</w:t>
            </w:r>
            <w:proofErr w:type="gramEnd"/>
            <w:r>
              <w:rPr>
                <w:rFonts w:ascii="Arial" w:eastAsia="Arial" w:hAnsi="Arial" w:cs="Arial"/>
                <w:color w:val="000000"/>
                <w:sz w:val="19"/>
                <w:szCs w:val="19"/>
              </w:rPr>
              <w:t xml:space="preserve"> formulado por la Secretaría Distrital de Gobierno, la raci</w:t>
            </w:r>
            <w:r>
              <w:rPr>
                <w:rFonts w:ascii="Arial" w:eastAsia="Arial" w:hAnsi="Arial" w:cs="Arial"/>
                <w:color w:val="000000"/>
                <w:sz w:val="19"/>
                <w:szCs w:val="19"/>
              </w:rPr>
              <w:t>onalización  tiene que ver con “aquellos aspectos atinentes a la creación, organización,  ejecución, manejo y control del gasto público, con miras a lograr su  optimización y el mejoramiento de las finanzas públicas”.</w:t>
            </w:r>
          </w:p>
        </w:tc>
      </w:tr>
      <w:tr w:rsidR="00912D99">
        <w:tc>
          <w:tcPr>
            <w:tcW w:w="2405" w:type="dxa"/>
            <w:shd w:val="clear" w:color="auto" w:fill="auto"/>
          </w:tcPr>
          <w:p w:rsidR="00912D99" w:rsidRDefault="00912D99">
            <w:pPr>
              <w:jc w:val="both"/>
              <w:rPr>
                <w:rFonts w:ascii="IBM Plex Sans" w:eastAsia="IBM Plex Sans" w:hAnsi="IBM Plex Sans" w:cs="IBM Plex Sans"/>
              </w:rPr>
            </w:pPr>
          </w:p>
        </w:tc>
        <w:tc>
          <w:tcPr>
            <w:tcW w:w="6990" w:type="dxa"/>
          </w:tcPr>
          <w:p w:rsidR="00912D99" w:rsidRDefault="00912D99">
            <w:pPr>
              <w:jc w:val="both"/>
              <w:rPr>
                <w:rFonts w:ascii="IBM Plex Sans" w:eastAsia="IBM Plex Sans" w:hAnsi="IBM Plex Sans" w:cs="IBM Plex Sans"/>
              </w:rPr>
            </w:pPr>
          </w:p>
        </w:tc>
      </w:tr>
    </w:tbl>
    <w:p w:rsidR="00912D99" w:rsidRDefault="00912D99"/>
    <w:p w:rsidR="00912D99" w:rsidRDefault="00E9611B">
      <w:pPr>
        <w:jc w:val="both"/>
        <w:rPr>
          <w:rFonts w:ascii="IBM Plex Sans" w:eastAsia="IBM Plex Sans" w:hAnsi="IBM Plex Sans" w:cs="IBM Plex Sans"/>
          <w:sz w:val="20"/>
          <w:szCs w:val="20"/>
        </w:rPr>
      </w:pPr>
      <w:r>
        <w:rPr>
          <w:rFonts w:ascii="IBM Plex Sans" w:eastAsia="IBM Plex Sans" w:hAnsi="IBM Plex Sans" w:cs="IBM Plex Sans"/>
          <w:sz w:val="20"/>
          <w:szCs w:val="20"/>
        </w:rPr>
        <w:lastRenderedPageBreak/>
        <w:t>Tabla 1. Definiciones</w:t>
      </w:r>
    </w:p>
    <w:p w:rsidR="00912D99" w:rsidRDefault="00912D99">
      <w:pPr>
        <w:jc w:val="both"/>
        <w:rPr>
          <w:rFonts w:ascii="IBM Plex Sans" w:eastAsia="IBM Plex Sans" w:hAnsi="IBM Plex Sans" w:cs="IBM Plex Sans"/>
          <w:sz w:val="20"/>
          <w:szCs w:val="20"/>
        </w:rPr>
      </w:pPr>
    </w:p>
    <w:p w:rsidR="00912D99" w:rsidRDefault="00E9611B">
      <w:pPr>
        <w:pStyle w:val="Ttulo1"/>
        <w:numPr>
          <w:ilvl w:val="0"/>
          <w:numId w:val="1"/>
        </w:numPr>
        <w:jc w:val="both"/>
        <w:rPr>
          <w:rFonts w:ascii="IBM Plex Sans" w:eastAsia="IBM Plex Sans" w:hAnsi="IBM Plex Sans" w:cs="IBM Plex Sans"/>
          <w:b/>
          <w:bCs/>
          <w:sz w:val="22"/>
          <w:szCs w:val="22"/>
        </w:rPr>
      </w:pPr>
      <w:bookmarkStart w:id="19" w:name="_heading=h.k3aztdq704d4" w:colFirst="0" w:colLast="0"/>
      <w:bookmarkEnd w:id="19"/>
      <w:r>
        <w:rPr>
          <w:rFonts w:ascii="IBM Plex Sans" w:eastAsia="IBM Plex Sans" w:hAnsi="IBM Plex Sans" w:cs="IBM Plex Sans"/>
          <w:b/>
          <w:bCs/>
          <w:sz w:val="22"/>
          <w:szCs w:val="22"/>
        </w:rPr>
        <w:t>Normatividad y/o lineamientos aplicables</w:t>
      </w:r>
    </w:p>
    <w:tbl>
      <w:tblPr>
        <w:tblStyle w:val="aa"/>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423"/>
      </w:tblGrid>
      <w:tr w:rsidR="00912D99">
        <w:trPr>
          <w:tblHeader/>
        </w:trPr>
        <w:tc>
          <w:tcPr>
            <w:tcW w:w="2972" w:type="dxa"/>
            <w:shd w:val="clear" w:color="auto" w:fill="EBF1DD"/>
          </w:tcPr>
          <w:p w:rsidR="00912D99" w:rsidRDefault="00912D99">
            <w:pPr>
              <w:spacing w:line="276" w:lineRule="auto"/>
              <w:jc w:val="center"/>
              <w:rPr>
                <w:rFonts w:ascii="Arial" w:eastAsia="Arial" w:hAnsi="Arial" w:cs="Arial"/>
                <w:b/>
                <w:bCs/>
                <w:sz w:val="22"/>
                <w:szCs w:val="22"/>
              </w:rPr>
            </w:pPr>
          </w:p>
          <w:p w:rsidR="00912D99" w:rsidRDefault="00E9611B">
            <w:pPr>
              <w:spacing w:line="276" w:lineRule="auto"/>
              <w:jc w:val="center"/>
              <w:rPr>
                <w:rFonts w:ascii="Arial" w:eastAsia="Arial" w:hAnsi="Arial" w:cs="Arial"/>
                <w:b/>
                <w:bCs/>
                <w:sz w:val="22"/>
                <w:szCs w:val="22"/>
              </w:rPr>
            </w:pPr>
            <w:r>
              <w:rPr>
                <w:rFonts w:ascii="Arial" w:eastAsia="Arial" w:hAnsi="Arial" w:cs="Arial"/>
                <w:b/>
                <w:bCs/>
                <w:sz w:val="22"/>
                <w:szCs w:val="22"/>
              </w:rPr>
              <w:t>Normatividad</w:t>
            </w:r>
          </w:p>
          <w:p w:rsidR="00912D99" w:rsidRDefault="00912D99">
            <w:pPr>
              <w:spacing w:line="276" w:lineRule="auto"/>
              <w:jc w:val="center"/>
              <w:rPr>
                <w:rFonts w:ascii="Arial" w:eastAsia="Arial" w:hAnsi="Arial" w:cs="Arial"/>
                <w:b/>
                <w:bCs/>
                <w:sz w:val="22"/>
                <w:szCs w:val="22"/>
              </w:rPr>
            </w:pPr>
          </w:p>
        </w:tc>
        <w:tc>
          <w:tcPr>
            <w:tcW w:w="6423" w:type="dxa"/>
            <w:shd w:val="clear" w:color="auto" w:fill="EBF1DD"/>
          </w:tcPr>
          <w:p w:rsidR="00912D99" w:rsidRDefault="00912D99">
            <w:pPr>
              <w:spacing w:line="276" w:lineRule="auto"/>
              <w:jc w:val="center"/>
              <w:rPr>
                <w:rFonts w:ascii="Arial" w:eastAsia="Arial" w:hAnsi="Arial" w:cs="Arial"/>
                <w:b/>
                <w:bCs/>
                <w:sz w:val="22"/>
                <w:szCs w:val="22"/>
              </w:rPr>
            </w:pPr>
          </w:p>
          <w:p w:rsidR="00912D99" w:rsidRDefault="00E9611B">
            <w:pPr>
              <w:spacing w:line="276" w:lineRule="auto"/>
              <w:jc w:val="center"/>
              <w:rPr>
                <w:rFonts w:ascii="Arial" w:eastAsia="Arial" w:hAnsi="Arial" w:cs="Arial"/>
                <w:b/>
                <w:bCs/>
                <w:sz w:val="22"/>
                <w:szCs w:val="22"/>
              </w:rPr>
            </w:pPr>
            <w:r>
              <w:rPr>
                <w:rFonts w:ascii="Arial" w:eastAsia="Arial" w:hAnsi="Arial" w:cs="Arial"/>
                <w:b/>
                <w:bCs/>
                <w:sz w:val="22"/>
                <w:szCs w:val="22"/>
              </w:rPr>
              <w:t>Descripción</w:t>
            </w:r>
          </w:p>
        </w:tc>
      </w:tr>
      <w:tr w:rsidR="00912D99">
        <w:tc>
          <w:tcPr>
            <w:tcW w:w="2972" w:type="dxa"/>
          </w:tcPr>
          <w:p w:rsidR="00912D99" w:rsidRDefault="00912D99">
            <w:pPr>
              <w:spacing w:line="276" w:lineRule="auto"/>
              <w:jc w:val="center"/>
              <w:rPr>
                <w:rFonts w:ascii="Arial" w:eastAsia="Arial" w:hAnsi="Arial" w:cs="Arial"/>
                <w:b/>
                <w:bCs/>
                <w:color w:val="000000"/>
                <w:sz w:val="22"/>
                <w:szCs w:val="22"/>
              </w:rPr>
            </w:pPr>
          </w:p>
          <w:p w:rsidR="00912D99" w:rsidRDefault="00E9611B">
            <w:pPr>
              <w:spacing w:line="276" w:lineRule="auto"/>
              <w:jc w:val="center"/>
              <w:rPr>
                <w:rFonts w:ascii="Arial" w:eastAsia="Arial" w:hAnsi="Arial" w:cs="Arial"/>
                <w:sz w:val="22"/>
                <w:szCs w:val="22"/>
                <w:highlight w:val="yellow"/>
              </w:rPr>
            </w:pPr>
            <w:r>
              <w:rPr>
                <w:rFonts w:ascii="Arial" w:eastAsia="Arial" w:hAnsi="Arial" w:cs="Arial"/>
                <w:b/>
                <w:bCs/>
                <w:color w:val="000000"/>
                <w:sz w:val="22"/>
                <w:szCs w:val="22"/>
              </w:rPr>
              <w:t xml:space="preserve">Constitución Política </w:t>
            </w:r>
            <w:proofErr w:type="gramStart"/>
            <w:r>
              <w:rPr>
                <w:rFonts w:ascii="Arial" w:eastAsia="Arial" w:hAnsi="Arial" w:cs="Arial"/>
                <w:b/>
                <w:bCs/>
                <w:color w:val="000000"/>
                <w:sz w:val="22"/>
                <w:szCs w:val="22"/>
              </w:rPr>
              <w:t>de  Colombia</w:t>
            </w:r>
            <w:proofErr w:type="gramEnd"/>
            <w:r>
              <w:rPr>
                <w:rFonts w:ascii="Arial" w:eastAsia="Arial" w:hAnsi="Arial" w:cs="Arial"/>
                <w:b/>
                <w:bCs/>
                <w:color w:val="000000"/>
                <w:sz w:val="22"/>
                <w:szCs w:val="22"/>
              </w:rPr>
              <w:t xml:space="preserve"> Art. 209</w:t>
            </w:r>
          </w:p>
        </w:tc>
        <w:tc>
          <w:tcPr>
            <w:tcW w:w="6423" w:type="dxa"/>
          </w:tcPr>
          <w:p w:rsidR="00912D99" w:rsidRDefault="00E9611B">
            <w:pPr>
              <w:spacing w:line="276" w:lineRule="auto"/>
              <w:jc w:val="both"/>
              <w:rPr>
                <w:rFonts w:ascii="Arial" w:eastAsia="Arial" w:hAnsi="Arial" w:cs="Arial"/>
                <w:sz w:val="22"/>
                <w:szCs w:val="22"/>
                <w:highlight w:val="yellow"/>
              </w:rPr>
            </w:pPr>
            <w:r>
              <w:rPr>
                <w:rFonts w:ascii="Arial" w:eastAsia="Arial" w:hAnsi="Arial" w:cs="Arial"/>
                <w:color w:val="000000"/>
                <w:sz w:val="22"/>
                <w:szCs w:val="22"/>
              </w:rPr>
              <w:t xml:space="preserve">La función administrativa debe estar al servicio de los </w:t>
            </w:r>
            <w:proofErr w:type="gramStart"/>
            <w:r>
              <w:rPr>
                <w:rFonts w:ascii="Arial" w:eastAsia="Arial" w:hAnsi="Arial" w:cs="Arial"/>
                <w:color w:val="000000"/>
                <w:sz w:val="22"/>
                <w:szCs w:val="22"/>
              </w:rPr>
              <w:t>intereses  generales</w:t>
            </w:r>
            <w:proofErr w:type="gramEnd"/>
            <w:r>
              <w:rPr>
                <w:rFonts w:ascii="Arial" w:eastAsia="Arial" w:hAnsi="Arial" w:cs="Arial"/>
                <w:color w:val="000000"/>
                <w:sz w:val="22"/>
                <w:szCs w:val="22"/>
              </w:rPr>
              <w:t xml:space="preserve"> y se desarrolla con fundamento en los principios de  igualdad, moralidad, eficacia, economía, celeridad, imparcialidad y  publicidad.</w:t>
            </w:r>
          </w:p>
        </w:tc>
      </w:tr>
      <w:tr w:rsidR="00912D99">
        <w:tc>
          <w:tcPr>
            <w:tcW w:w="2972" w:type="dxa"/>
          </w:tcPr>
          <w:p w:rsidR="00912D99" w:rsidRDefault="00912D99">
            <w:pPr>
              <w:spacing w:line="276" w:lineRule="auto"/>
              <w:jc w:val="center"/>
              <w:rPr>
                <w:rFonts w:ascii="Arial" w:eastAsia="Arial" w:hAnsi="Arial" w:cs="Arial"/>
                <w:b/>
                <w:bCs/>
                <w:color w:val="000000"/>
                <w:sz w:val="22"/>
                <w:szCs w:val="22"/>
              </w:rPr>
            </w:pPr>
          </w:p>
          <w:p w:rsidR="00912D99" w:rsidRDefault="00E9611B">
            <w:pPr>
              <w:spacing w:line="276" w:lineRule="auto"/>
              <w:jc w:val="center"/>
              <w:rPr>
                <w:rFonts w:ascii="Arial" w:eastAsia="Arial" w:hAnsi="Arial" w:cs="Arial"/>
                <w:sz w:val="22"/>
                <w:szCs w:val="22"/>
                <w:highlight w:val="yellow"/>
              </w:rPr>
            </w:pPr>
            <w:r>
              <w:rPr>
                <w:rFonts w:ascii="Arial" w:eastAsia="Arial" w:hAnsi="Arial" w:cs="Arial"/>
                <w:b/>
                <w:bCs/>
                <w:color w:val="000000"/>
                <w:sz w:val="22"/>
                <w:szCs w:val="22"/>
              </w:rPr>
              <w:t xml:space="preserve">Ley 1473 de 2011, </w:t>
            </w:r>
            <w:proofErr w:type="gramStart"/>
            <w:r>
              <w:rPr>
                <w:rFonts w:ascii="Arial" w:eastAsia="Arial" w:hAnsi="Arial" w:cs="Arial"/>
                <w:b/>
                <w:bCs/>
                <w:color w:val="000000"/>
                <w:sz w:val="22"/>
                <w:szCs w:val="22"/>
              </w:rPr>
              <w:t>modificada  por</w:t>
            </w:r>
            <w:proofErr w:type="gramEnd"/>
            <w:r>
              <w:rPr>
                <w:rFonts w:ascii="Arial" w:eastAsia="Arial" w:hAnsi="Arial" w:cs="Arial"/>
                <w:b/>
                <w:bCs/>
                <w:color w:val="000000"/>
                <w:sz w:val="22"/>
                <w:szCs w:val="22"/>
              </w:rPr>
              <w:t xml:space="preserve"> la Ley 2155 de 2021</w:t>
            </w:r>
          </w:p>
        </w:tc>
        <w:tc>
          <w:tcPr>
            <w:tcW w:w="6423" w:type="dxa"/>
          </w:tcPr>
          <w:p w:rsidR="00912D99" w:rsidRDefault="00E9611B">
            <w:pPr>
              <w:widowControl w:val="0"/>
              <w:pBdr>
                <w:top w:val="nil"/>
                <w:left w:val="nil"/>
                <w:bottom w:val="nil"/>
                <w:right w:val="nil"/>
                <w:between w:val="nil"/>
              </w:pBdr>
              <w:spacing w:line="231" w:lineRule="auto"/>
              <w:ind w:left="119" w:right="53" w:firstLine="10"/>
              <w:jc w:val="both"/>
              <w:rPr>
                <w:rFonts w:ascii="Arial" w:eastAsia="Arial" w:hAnsi="Arial" w:cs="Arial"/>
                <w:color w:val="000000"/>
                <w:sz w:val="22"/>
                <w:szCs w:val="22"/>
              </w:rPr>
            </w:pPr>
            <w:r>
              <w:rPr>
                <w:rFonts w:ascii="Arial" w:eastAsia="Arial" w:hAnsi="Arial" w:cs="Arial"/>
                <w:color w:val="000000"/>
                <w:sz w:val="22"/>
                <w:szCs w:val="22"/>
              </w:rPr>
              <w:t xml:space="preserve">Establece las normas que garantizan la sostenibilidad de largo </w:t>
            </w:r>
            <w:proofErr w:type="gramStart"/>
            <w:r>
              <w:rPr>
                <w:rFonts w:ascii="Arial" w:eastAsia="Arial" w:hAnsi="Arial" w:cs="Arial"/>
                <w:color w:val="000000"/>
                <w:sz w:val="22"/>
                <w:szCs w:val="22"/>
              </w:rPr>
              <w:t>plazo  de</w:t>
            </w:r>
            <w:proofErr w:type="gramEnd"/>
            <w:r>
              <w:rPr>
                <w:rFonts w:ascii="Arial" w:eastAsia="Arial" w:hAnsi="Arial" w:cs="Arial"/>
                <w:color w:val="000000"/>
                <w:sz w:val="22"/>
                <w:szCs w:val="22"/>
              </w:rPr>
              <w:t xml:space="preserve"> las finanzas públicas y la consecución y consolidación  macroeconómica del país, mediante instrumentos presupuestales  como la Re</w:t>
            </w:r>
            <w:r>
              <w:rPr>
                <w:rFonts w:ascii="Arial" w:eastAsia="Arial" w:hAnsi="Arial" w:cs="Arial"/>
                <w:color w:val="000000"/>
                <w:sz w:val="22"/>
                <w:szCs w:val="22"/>
              </w:rPr>
              <w:t>gla Fiscal y el Marco de Gasto de Mediano Plazo.</w:t>
            </w:r>
          </w:p>
        </w:tc>
      </w:tr>
      <w:tr w:rsidR="00912D99">
        <w:tc>
          <w:tcPr>
            <w:tcW w:w="2972" w:type="dxa"/>
          </w:tcPr>
          <w:p w:rsidR="00912D99" w:rsidRDefault="00912D99">
            <w:pPr>
              <w:spacing w:line="276" w:lineRule="auto"/>
              <w:jc w:val="center"/>
              <w:rPr>
                <w:rFonts w:ascii="Arial" w:eastAsia="Arial" w:hAnsi="Arial" w:cs="Arial"/>
                <w:b/>
                <w:bCs/>
                <w:color w:val="000000"/>
                <w:sz w:val="22"/>
                <w:szCs w:val="22"/>
              </w:rPr>
            </w:pPr>
          </w:p>
          <w:p w:rsidR="00912D99" w:rsidRDefault="00E9611B">
            <w:pPr>
              <w:spacing w:line="276" w:lineRule="auto"/>
              <w:jc w:val="center"/>
              <w:rPr>
                <w:rFonts w:ascii="Arial" w:eastAsia="Arial" w:hAnsi="Arial" w:cs="Arial"/>
                <w:sz w:val="22"/>
                <w:szCs w:val="22"/>
              </w:rPr>
            </w:pPr>
            <w:r>
              <w:rPr>
                <w:rFonts w:ascii="Arial" w:eastAsia="Arial" w:hAnsi="Arial" w:cs="Arial"/>
                <w:b/>
                <w:bCs/>
                <w:color w:val="000000"/>
                <w:sz w:val="22"/>
                <w:szCs w:val="22"/>
              </w:rPr>
              <w:t xml:space="preserve">Directiva Presidencial No. </w:t>
            </w:r>
            <w:proofErr w:type="gramStart"/>
            <w:r>
              <w:rPr>
                <w:rFonts w:ascii="Arial" w:eastAsia="Arial" w:hAnsi="Arial" w:cs="Arial"/>
                <w:b/>
                <w:bCs/>
                <w:color w:val="000000"/>
                <w:sz w:val="22"/>
                <w:szCs w:val="22"/>
              </w:rPr>
              <w:t>13  de</w:t>
            </w:r>
            <w:proofErr w:type="gramEnd"/>
            <w:r>
              <w:rPr>
                <w:rFonts w:ascii="Arial" w:eastAsia="Arial" w:hAnsi="Arial" w:cs="Arial"/>
                <w:b/>
                <w:bCs/>
                <w:color w:val="000000"/>
                <w:sz w:val="22"/>
                <w:szCs w:val="22"/>
              </w:rPr>
              <w:t xml:space="preserve"> 2024</w:t>
            </w:r>
          </w:p>
        </w:tc>
        <w:tc>
          <w:tcPr>
            <w:tcW w:w="6423" w:type="dxa"/>
          </w:tcPr>
          <w:p w:rsidR="00912D99" w:rsidRDefault="00E9611B">
            <w:pPr>
              <w:widowControl w:val="0"/>
              <w:pBdr>
                <w:top w:val="nil"/>
                <w:left w:val="nil"/>
                <w:bottom w:val="nil"/>
                <w:right w:val="nil"/>
                <w:between w:val="nil"/>
              </w:pBdr>
              <w:spacing w:line="230" w:lineRule="auto"/>
              <w:ind w:left="119" w:right="50" w:firstLine="10"/>
              <w:jc w:val="both"/>
              <w:rPr>
                <w:rFonts w:ascii="Arial" w:eastAsia="Arial" w:hAnsi="Arial" w:cs="Arial"/>
                <w:color w:val="000000"/>
                <w:sz w:val="22"/>
                <w:szCs w:val="22"/>
              </w:rPr>
            </w:pPr>
            <w:r>
              <w:rPr>
                <w:rFonts w:ascii="Arial" w:eastAsia="Arial" w:hAnsi="Arial" w:cs="Arial"/>
                <w:color w:val="000000"/>
                <w:sz w:val="22"/>
                <w:szCs w:val="22"/>
              </w:rPr>
              <w:t xml:space="preserve">Insta a las demás ramas del poder público, a los entes autónomos, </w:t>
            </w:r>
            <w:proofErr w:type="gramStart"/>
            <w:r>
              <w:rPr>
                <w:rFonts w:ascii="Arial" w:eastAsia="Arial" w:hAnsi="Arial" w:cs="Arial"/>
                <w:color w:val="000000"/>
                <w:sz w:val="22"/>
                <w:szCs w:val="22"/>
              </w:rPr>
              <w:t>los  organismos</w:t>
            </w:r>
            <w:proofErr w:type="gramEnd"/>
            <w:r>
              <w:rPr>
                <w:rFonts w:ascii="Arial" w:eastAsia="Arial" w:hAnsi="Arial" w:cs="Arial"/>
                <w:color w:val="000000"/>
                <w:sz w:val="22"/>
                <w:szCs w:val="22"/>
              </w:rPr>
              <w:t xml:space="preserve"> de control y vigilancia y las entidades territoriales a adoptar  las medidas de esta directiva, en aplicación del principio de  colaboración armónica previsto en el artículo </w:t>
            </w:r>
            <w:r>
              <w:rPr>
                <w:rFonts w:ascii="Arial" w:eastAsia="Arial" w:hAnsi="Arial" w:cs="Arial"/>
                <w:color w:val="000000"/>
                <w:sz w:val="22"/>
                <w:szCs w:val="22"/>
              </w:rPr>
              <w:t>113 de la Constitución  Política.</w:t>
            </w:r>
          </w:p>
        </w:tc>
      </w:tr>
      <w:tr w:rsidR="00912D99">
        <w:tc>
          <w:tcPr>
            <w:tcW w:w="2972" w:type="dxa"/>
          </w:tcPr>
          <w:p w:rsidR="00912D99" w:rsidRDefault="00912D99">
            <w:pPr>
              <w:spacing w:line="276" w:lineRule="auto"/>
              <w:jc w:val="center"/>
              <w:rPr>
                <w:rFonts w:ascii="Arial" w:eastAsia="Arial" w:hAnsi="Arial" w:cs="Arial"/>
                <w:b/>
                <w:bCs/>
                <w:color w:val="000000"/>
                <w:sz w:val="22"/>
                <w:szCs w:val="22"/>
              </w:rPr>
            </w:pPr>
          </w:p>
          <w:p w:rsidR="00912D99" w:rsidRDefault="00E9611B">
            <w:pPr>
              <w:spacing w:line="276" w:lineRule="auto"/>
              <w:jc w:val="center"/>
              <w:rPr>
                <w:rFonts w:ascii="Arial" w:eastAsia="Arial" w:hAnsi="Arial" w:cs="Arial"/>
                <w:sz w:val="22"/>
                <w:szCs w:val="22"/>
              </w:rPr>
            </w:pPr>
            <w:r>
              <w:rPr>
                <w:rFonts w:ascii="Arial" w:eastAsia="Arial" w:hAnsi="Arial" w:cs="Arial"/>
                <w:b/>
                <w:bCs/>
                <w:color w:val="000000"/>
                <w:sz w:val="22"/>
                <w:szCs w:val="22"/>
              </w:rPr>
              <w:t xml:space="preserve">Artículo 114 del </w:t>
            </w:r>
            <w:proofErr w:type="gramStart"/>
            <w:r>
              <w:rPr>
                <w:rFonts w:ascii="Arial" w:eastAsia="Arial" w:hAnsi="Arial" w:cs="Arial"/>
                <w:b/>
                <w:bCs/>
                <w:color w:val="000000"/>
                <w:sz w:val="22"/>
                <w:szCs w:val="22"/>
              </w:rPr>
              <w:t>Acuerdo  Distrital</w:t>
            </w:r>
            <w:proofErr w:type="gramEnd"/>
            <w:r>
              <w:rPr>
                <w:rFonts w:ascii="Arial" w:eastAsia="Arial" w:hAnsi="Arial" w:cs="Arial"/>
                <w:b/>
                <w:bCs/>
                <w:color w:val="000000"/>
                <w:sz w:val="22"/>
                <w:szCs w:val="22"/>
              </w:rPr>
              <w:t xml:space="preserve"> 257 de 2006 modificado por el Acuerdo  643 de 2016</w:t>
            </w:r>
          </w:p>
        </w:tc>
        <w:tc>
          <w:tcPr>
            <w:tcW w:w="6423" w:type="dxa"/>
          </w:tcPr>
          <w:p w:rsidR="00912D99" w:rsidRDefault="00E9611B">
            <w:pPr>
              <w:spacing w:line="276" w:lineRule="auto"/>
              <w:jc w:val="both"/>
              <w:rPr>
                <w:rFonts w:ascii="Arial" w:eastAsia="Arial" w:hAnsi="Arial" w:cs="Arial"/>
                <w:sz w:val="22"/>
                <w:szCs w:val="22"/>
              </w:rPr>
            </w:pPr>
            <w:r>
              <w:rPr>
                <w:rFonts w:ascii="Arial" w:eastAsia="Arial" w:hAnsi="Arial" w:cs="Arial"/>
                <w:color w:val="000000"/>
                <w:sz w:val="22"/>
                <w:szCs w:val="22"/>
              </w:rPr>
              <w:t>Establece que el Sector Hábitat está integrado por la Secretaría Distrital de Hábitat - SDHT como cabeza del Sector, la Entidades Ads</w:t>
            </w:r>
            <w:r>
              <w:rPr>
                <w:rFonts w:ascii="Arial" w:eastAsia="Arial" w:hAnsi="Arial" w:cs="Arial"/>
                <w:color w:val="000000"/>
                <w:sz w:val="22"/>
                <w:szCs w:val="22"/>
              </w:rPr>
              <w:t xml:space="preserve">critas: Caja de Vivienda Popular – CVP y Unidad Administrativa Especial de Servicios Públicos – UAESP. Entidades Vinculadas:  Empresa de Renovación Urbana – ERU, hoy Empresa de Renovación y </w:t>
            </w:r>
            <w:r>
              <w:rPr>
                <w:rFonts w:ascii="Arial" w:eastAsia="Arial" w:hAnsi="Arial" w:cs="Arial"/>
                <w:sz w:val="22"/>
                <w:szCs w:val="22"/>
              </w:rPr>
              <w:t>D</w:t>
            </w:r>
            <w:r>
              <w:rPr>
                <w:rFonts w:ascii="Arial" w:eastAsia="Arial" w:hAnsi="Arial" w:cs="Arial"/>
                <w:color w:val="000000"/>
                <w:sz w:val="22"/>
                <w:szCs w:val="22"/>
              </w:rPr>
              <w:t xml:space="preserve">esarrollo Urbano de Bogotá - </w:t>
            </w:r>
            <w:proofErr w:type="spellStart"/>
            <w:r>
              <w:rPr>
                <w:rFonts w:ascii="Arial" w:eastAsia="Arial" w:hAnsi="Arial" w:cs="Arial"/>
                <w:color w:val="000000"/>
                <w:sz w:val="22"/>
                <w:szCs w:val="22"/>
              </w:rPr>
              <w:t>RenoBo</w:t>
            </w:r>
            <w:proofErr w:type="spellEnd"/>
            <w:r>
              <w:rPr>
                <w:rFonts w:ascii="Arial" w:eastAsia="Arial" w:hAnsi="Arial" w:cs="Arial"/>
                <w:color w:val="000000"/>
                <w:sz w:val="22"/>
                <w:szCs w:val="22"/>
              </w:rPr>
              <w:t>, y Empresa de Acueducto y Alc</w:t>
            </w:r>
            <w:r>
              <w:rPr>
                <w:rFonts w:ascii="Arial" w:eastAsia="Arial" w:hAnsi="Arial" w:cs="Arial"/>
                <w:color w:val="000000"/>
                <w:sz w:val="22"/>
                <w:szCs w:val="22"/>
              </w:rPr>
              <w:t xml:space="preserve">antarillado de Bogotá E.S.P. – EAAB. Entidades con </w:t>
            </w:r>
            <w:proofErr w:type="gramStart"/>
            <w:r>
              <w:rPr>
                <w:rFonts w:ascii="Arial" w:eastAsia="Arial" w:hAnsi="Arial" w:cs="Arial"/>
                <w:color w:val="000000"/>
                <w:sz w:val="22"/>
                <w:szCs w:val="22"/>
              </w:rPr>
              <w:t>vinculación  especial</w:t>
            </w:r>
            <w:proofErr w:type="gramEnd"/>
            <w:r>
              <w:rPr>
                <w:rFonts w:ascii="Arial" w:eastAsia="Arial" w:hAnsi="Arial" w:cs="Arial"/>
                <w:color w:val="000000"/>
                <w:sz w:val="22"/>
                <w:szCs w:val="22"/>
              </w:rPr>
              <w:t>: Empresa de Telecomunicaciones de Bogotá S.A.-ETB-ESP  y Empresa de Energía de Bogotá S.A. – EEB – ESP.</w:t>
            </w:r>
          </w:p>
        </w:tc>
      </w:tr>
      <w:tr w:rsidR="00912D99">
        <w:tc>
          <w:tcPr>
            <w:tcW w:w="2972" w:type="dxa"/>
          </w:tcPr>
          <w:p w:rsidR="00912D99" w:rsidRDefault="00912D99">
            <w:pPr>
              <w:spacing w:line="276" w:lineRule="auto"/>
              <w:jc w:val="center"/>
              <w:rPr>
                <w:rFonts w:ascii="Arial" w:eastAsia="Arial" w:hAnsi="Arial" w:cs="Arial"/>
                <w:b/>
                <w:bCs/>
                <w:color w:val="000000"/>
                <w:sz w:val="22"/>
                <w:szCs w:val="22"/>
              </w:rPr>
            </w:pPr>
          </w:p>
          <w:p w:rsidR="00912D99" w:rsidRDefault="00912D99">
            <w:pPr>
              <w:spacing w:line="276" w:lineRule="auto"/>
              <w:jc w:val="center"/>
              <w:rPr>
                <w:rFonts w:ascii="Arial" w:eastAsia="Arial" w:hAnsi="Arial" w:cs="Arial"/>
                <w:b/>
                <w:bCs/>
                <w:color w:val="000000"/>
                <w:sz w:val="22"/>
                <w:szCs w:val="22"/>
              </w:rPr>
            </w:pPr>
          </w:p>
          <w:p w:rsidR="00912D99" w:rsidRDefault="00912D99">
            <w:pPr>
              <w:spacing w:line="276" w:lineRule="auto"/>
              <w:jc w:val="center"/>
              <w:rPr>
                <w:rFonts w:ascii="Arial" w:eastAsia="Arial" w:hAnsi="Arial" w:cs="Arial"/>
                <w:b/>
                <w:bCs/>
                <w:color w:val="000000"/>
                <w:sz w:val="22"/>
                <w:szCs w:val="22"/>
              </w:rPr>
            </w:pPr>
          </w:p>
          <w:p w:rsidR="00912D99" w:rsidRDefault="00912D99">
            <w:pPr>
              <w:spacing w:line="276" w:lineRule="auto"/>
              <w:jc w:val="center"/>
              <w:rPr>
                <w:rFonts w:ascii="Arial" w:eastAsia="Arial" w:hAnsi="Arial" w:cs="Arial"/>
                <w:b/>
                <w:bCs/>
                <w:color w:val="000000"/>
                <w:sz w:val="22"/>
                <w:szCs w:val="22"/>
              </w:rPr>
            </w:pPr>
          </w:p>
          <w:p w:rsidR="00912D99" w:rsidRDefault="00912D99">
            <w:pPr>
              <w:spacing w:line="276" w:lineRule="auto"/>
              <w:jc w:val="center"/>
              <w:rPr>
                <w:rFonts w:ascii="Arial" w:eastAsia="Arial" w:hAnsi="Arial" w:cs="Arial"/>
                <w:b/>
                <w:bCs/>
                <w:color w:val="000000"/>
                <w:sz w:val="22"/>
                <w:szCs w:val="22"/>
              </w:rPr>
            </w:pPr>
          </w:p>
          <w:p w:rsidR="00912D99" w:rsidRDefault="00E9611B">
            <w:pPr>
              <w:spacing w:line="276" w:lineRule="auto"/>
              <w:jc w:val="center"/>
              <w:rPr>
                <w:rFonts w:ascii="Arial" w:eastAsia="Arial" w:hAnsi="Arial" w:cs="Arial"/>
                <w:sz w:val="22"/>
                <w:szCs w:val="22"/>
              </w:rPr>
            </w:pPr>
            <w:r>
              <w:rPr>
                <w:rFonts w:ascii="Arial" w:eastAsia="Arial" w:hAnsi="Arial" w:cs="Arial"/>
                <w:b/>
                <w:bCs/>
                <w:color w:val="000000"/>
                <w:sz w:val="22"/>
                <w:szCs w:val="22"/>
              </w:rPr>
              <w:t>Decreto 492 de 2019</w:t>
            </w:r>
          </w:p>
        </w:tc>
        <w:tc>
          <w:tcPr>
            <w:tcW w:w="6423" w:type="dxa"/>
          </w:tcPr>
          <w:p w:rsidR="00912D99" w:rsidRDefault="00E9611B">
            <w:pPr>
              <w:spacing w:line="276" w:lineRule="auto"/>
              <w:jc w:val="both"/>
              <w:rPr>
                <w:rFonts w:ascii="Arial" w:eastAsia="Arial" w:hAnsi="Arial" w:cs="Arial"/>
                <w:sz w:val="22"/>
                <w:szCs w:val="22"/>
              </w:rPr>
            </w:pPr>
            <w:r>
              <w:rPr>
                <w:rFonts w:ascii="Arial" w:eastAsia="Arial" w:hAnsi="Arial" w:cs="Arial"/>
                <w:color w:val="000000"/>
                <w:sz w:val="22"/>
                <w:szCs w:val="22"/>
              </w:rPr>
              <w:t>Expide los lineamientos generales sobre austeridad y transparencia  del gasto público en las entidades y organismos del orden distrital, y  establece que cada entidad y organismo distrital deberá definir, al inicio  de cada vigencia fiscal, un plan de aust</w:t>
            </w:r>
            <w:r>
              <w:rPr>
                <w:rFonts w:ascii="Arial" w:eastAsia="Arial" w:hAnsi="Arial" w:cs="Arial"/>
                <w:color w:val="000000"/>
                <w:sz w:val="22"/>
                <w:szCs w:val="22"/>
              </w:rPr>
              <w:t>eridad por vigencia, en virtud  del cual hará una selección de gastos detallados en el rubro de  adquisición de bienes y servicios a ahorrar, que sirva de línea base  para implementar el indicador de austeridad de que trata el mismo  decreto y, con el cual</w:t>
            </w:r>
            <w:r>
              <w:rPr>
                <w:rFonts w:ascii="Arial" w:eastAsia="Arial" w:hAnsi="Arial" w:cs="Arial"/>
                <w:color w:val="000000"/>
                <w:sz w:val="22"/>
                <w:szCs w:val="22"/>
              </w:rPr>
              <w:t xml:space="preserve">, la entidad y organismo hará seguimiento y  análisis de manera semestral a los ahorros generados por la estrategia  de </w:t>
            </w:r>
            <w:r>
              <w:rPr>
                <w:rFonts w:ascii="Arial" w:eastAsia="Arial" w:hAnsi="Arial" w:cs="Arial"/>
                <w:color w:val="000000"/>
                <w:sz w:val="22"/>
                <w:szCs w:val="22"/>
              </w:rPr>
              <w:lastRenderedPageBreak/>
              <w:t xml:space="preserve">austeridad implementada. Dichos planes deberán ser </w:t>
            </w:r>
            <w:proofErr w:type="gramStart"/>
            <w:r>
              <w:rPr>
                <w:rFonts w:ascii="Arial" w:eastAsia="Arial" w:hAnsi="Arial" w:cs="Arial"/>
                <w:color w:val="000000"/>
                <w:sz w:val="22"/>
                <w:szCs w:val="22"/>
              </w:rPr>
              <w:t>consolidados  por</w:t>
            </w:r>
            <w:proofErr w:type="gramEnd"/>
            <w:r>
              <w:rPr>
                <w:rFonts w:ascii="Arial" w:eastAsia="Arial" w:hAnsi="Arial" w:cs="Arial"/>
                <w:color w:val="000000"/>
                <w:sz w:val="22"/>
                <w:szCs w:val="22"/>
              </w:rPr>
              <w:t xml:space="preserve"> las Secretarías cabeza del sector, para que su seguimiento haga  pa</w:t>
            </w:r>
            <w:r>
              <w:rPr>
                <w:rFonts w:ascii="Arial" w:eastAsia="Arial" w:hAnsi="Arial" w:cs="Arial"/>
                <w:color w:val="000000"/>
                <w:sz w:val="22"/>
                <w:szCs w:val="22"/>
              </w:rPr>
              <w:t>rte del informe semestral que se deberá reportar al Concejo de  Bogotá.</w:t>
            </w:r>
          </w:p>
        </w:tc>
      </w:tr>
      <w:tr w:rsidR="00912D99">
        <w:tc>
          <w:tcPr>
            <w:tcW w:w="2972" w:type="dxa"/>
          </w:tcPr>
          <w:p w:rsidR="00912D99" w:rsidRDefault="00E9611B">
            <w:pPr>
              <w:jc w:val="center"/>
              <w:rPr>
                <w:rFonts w:ascii="Arial" w:eastAsia="Arial" w:hAnsi="Arial" w:cs="Arial"/>
                <w:sz w:val="22"/>
                <w:szCs w:val="22"/>
              </w:rPr>
            </w:pPr>
            <w:r>
              <w:rPr>
                <w:rFonts w:ascii="Arial" w:eastAsia="Arial" w:hAnsi="Arial" w:cs="Arial"/>
                <w:b/>
                <w:bCs/>
                <w:color w:val="000000"/>
                <w:sz w:val="22"/>
                <w:szCs w:val="22"/>
              </w:rPr>
              <w:lastRenderedPageBreak/>
              <w:t xml:space="preserve">Decreto 062 del 9 de </w:t>
            </w:r>
            <w:proofErr w:type="gramStart"/>
            <w:r>
              <w:rPr>
                <w:rFonts w:ascii="Arial" w:eastAsia="Arial" w:hAnsi="Arial" w:cs="Arial"/>
                <w:b/>
                <w:bCs/>
                <w:color w:val="000000"/>
                <w:sz w:val="22"/>
                <w:szCs w:val="22"/>
              </w:rPr>
              <w:t>febrero  de</w:t>
            </w:r>
            <w:proofErr w:type="gramEnd"/>
            <w:r>
              <w:rPr>
                <w:rFonts w:ascii="Arial" w:eastAsia="Arial" w:hAnsi="Arial" w:cs="Arial"/>
                <w:b/>
                <w:bCs/>
                <w:color w:val="000000"/>
                <w:sz w:val="22"/>
                <w:szCs w:val="22"/>
              </w:rPr>
              <w:t xml:space="preserve"> 2024</w:t>
            </w:r>
          </w:p>
        </w:tc>
        <w:tc>
          <w:tcPr>
            <w:tcW w:w="6423" w:type="dxa"/>
          </w:tcPr>
          <w:p w:rsidR="00912D99" w:rsidRDefault="00E9611B">
            <w:pPr>
              <w:jc w:val="both"/>
              <w:rPr>
                <w:rFonts w:ascii="Arial" w:eastAsia="Arial" w:hAnsi="Arial" w:cs="Arial"/>
                <w:sz w:val="22"/>
                <w:szCs w:val="22"/>
              </w:rPr>
            </w:pPr>
            <w:r>
              <w:rPr>
                <w:rFonts w:ascii="Arial" w:eastAsia="Arial" w:hAnsi="Arial" w:cs="Arial"/>
                <w:color w:val="000000"/>
                <w:sz w:val="22"/>
                <w:szCs w:val="22"/>
              </w:rPr>
              <w:t xml:space="preserve">Por el cual se ordena implementar medidas de austeridad y </w:t>
            </w:r>
            <w:proofErr w:type="gramStart"/>
            <w:r>
              <w:rPr>
                <w:rFonts w:ascii="Arial" w:eastAsia="Arial" w:hAnsi="Arial" w:cs="Arial"/>
                <w:color w:val="000000"/>
                <w:sz w:val="22"/>
                <w:szCs w:val="22"/>
              </w:rPr>
              <w:t>eficiencia  del</w:t>
            </w:r>
            <w:proofErr w:type="gramEnd"/>
            <w:r>
              <w:rPr>
                <w:rFonts w:ascii="Arial" w:eastAsia="Arial" w:hAnsi="Arial" w:cs="Arial"/>
                <w:color w:val="000000"/>
                <w:sz w:val="22"/>
                <w:szCs w:val="22"/>
              </w:rPr>
              <w:t xml:space="preserve"> gasto público en las entidades y organismos de la administración  distr</w:t>
            </w:r>
            <w:r>
              <w:rPr>
                <w:rFonts w:ascii="Arial" w:eastAsia="Arial" w:hAnsi="Arial" w:cs="Arial"/>
                <w:color w:val="000000"/>
                <w:sz w:val="22"/>
                <w:szCs w:val="22"/>
              </w:rPr>
              <w:t>ital.</w:t>
            </w:r>
          </w:p>
        </w:tc>
      </w:tr>
      <w:tr w:rsidR="00912D99">
        <w:tc>
          <w:tcPr>
            <w:tcW w:w="2972" w:type="dxa"/>
          </w:tcPr>
          <w:p w:rsidR="00912D99" w:rsidRDefault="00912D99">
            <w:pPr>
              <w:jc w:val="center"/>
              <w:rPr>
                <w:rFonts w:ascii="Arial" w:eastAsia="Arial" w:hAnsi="Arial" w:cs="Arial"/>
                <w:b/>
                <w:bCs/>
                <w:color w:val="000000"/>
                <w:sz w:val="22"/>
                <w:szCs w:val="22"/>
              </w:rPr>
            </w:pPr>
          </w:p>
          <w:p w:rsidR="00912D99" w:rsidRDefault="00E9611B">
            <w:pPr>
              <w:jc w:val="center"/>
              <w:rPr>
                <w:rFonts w:ascii="Arial" w:eastAsia="Arial" w:hAnsi="Arial" w:cs="Arial"/>
                <w:b/>
                <w:bCs/>
                <w:color w:val="000000"/>
                <w:sz w:val="22"/>
                <w:szCs w:val="22"/>
              </w:rPr>
            </w:pPr>
            <w:r>
              <w:rPr>
                <w:rFonts w:ascii="Arial" w:eastAsia="Arial" w:hAnsi="Arial" w:cs="Arial"/>
                <w:b/>
                <w:bCs/>
                <w:color w:val="000000"/>
                <w:sz w:val="22"/>
                <w:szCs w:val="22"/>
              </w:rPr>
              <w:t>Acuerdo 927 de 2024</w:t>
            </w:r>
          </w:p>
        </w:tc>
        <w:tc>
          <w:tcPr>
            <w:tcW w:w="6423" w:type="dxa"/>
          </w:tcPr>
          <w:p w:rsidR="00912D99" w:rsidRDefault="00E9611B">
            <w:pPr>
              <w:jc w:val="both"/>
              <w:rPr>
                <w:rFonts w:ascii="Arial" w:eastAsia="Arial" w:hAnsi="Arial" w:cs="Arial"/>
                <w:sz w:val="22"/>
                <w:szCs w:val="22"/>
              </w:rPr>
            </w:pPr>
            <w:r>
              <w:rPr>
                <w:rFonts w:ascii="Arial" w:eastAsia="Arial" w:hAnsi="Arial" w:cs="Arial"/>
                <w:color w:val="000000"/>
                <w:sz w:val="22"/>
                <w:szCs w:val="22"/>
              </w:rPr>
              <w:t xml:space="preserve">Por medio del cual se adopta el Plan de Desarrollo Económico, </w:t>
            </w:r>
            <w:proofErr w:type="gramStart"/>
            <w:r>
              <w:rPr>
                <w:rFonts w:ascii="Arial" w:eastAsia="Arial" w:hAnsi="Arial" w:cs="Arial"/>
                <w:color w:val="000000"/>
                <w:sz w:val="22"/>
                <w:szCs w:val="22"/>
              </w:rPr>
              <w:t>Social,  Ambiental</w:t>
            </w:r>
            <w:proofErr w:type="gramEnd"/>
            <w:r>
              <w:rPr>
                <w:rFonts w:ascii="Arial" w:eastAsia="Arial" w:hAnsi="Arial" w:cs="Arial"/>
                <w:color w:val="000000"/>
                <w:sz w:val="22"/>
                <w:szCs w:val="22"/>
              </w:rPr>
              <w:t xml:space="preserve"> y de Obras Públicas del Distrito Capital 2024-2027 “Bogotá  Camina Segura”</w:t>
            </w:r>
          </w:p>
        </w:tc>
      </w:tr>
      <w:tr w:rsidR="00912D99">
        <w:tc>
          <w:tcPr>
            <w:tcW w:w="2972" w:type="dxa"/>
          </w:tcPr>
          <w:p w:rsidR="00912D99" w:rsidRDefault="00912D99">
            <w:pPr>
              <w:jc w:val="center"/>
              <w:rPr>
                <w:rFonts w:ascii="Arial" w:eastAsia="Arial" w:hAnsi="Arial" w:cs="Arial"/>
                <w:b/>
                <w:bCs/>
                <w:color w:val="000000"/>
                <w:sz w:val="22"/>
                <w:szCs w:val="22"/>
              </w:rPr>
            </w:pPr>
          </w:p>
          <w:p w:rsidR="00912D99" w:rsidRDefault="00E9611B">
            <w:pPr>
              <w:jc w:val="center"/>
              <w:rPr>
                <w:rFonts w:ascii="Arial" w:eastAsia="Arial" w:hAnsi="Arial" w:cs="Arial"/>
                <w:b/>
                <w:bCs/>
                <w:color w:val="000000"/>
                <w:sz w:val="22"/>
                <w:szCs w:val="22"/>
              </w:rPr>
            </w:pPr>
            <w:r>
              <w:rPr>
                <w:rFonts w:ascii="Arial" w:eastAsia="Arial" w:hAnsi="Arial" w:cs="Arial"/>
                <w:b/>
                <w:bCs/>
                <w:color w:val="000000"/>
                <w:sz w:val="22"/>
                <w:szCs w:val="22"/>
              </w:rPr>
              <w:t xml:space="preserve">Circular Externa No. SDH 000002 del 10 de enero </w:t>
            </w:r>
            <w:proofErr w:type="gramStart"/>
            <w:r>
              <w:rPr>
                <w:rFonts w:ascii="Arial" w:eastAsia="Arial" w:hAnsi="Arial" w:cs="Arial"/>
                <w:b/>
                <w:bCs/>
                <w:color w:val="000000"/>
                <w:sz w:val="22"/>
                <w:szCs w:val="22"/>
              </w:rPr>
              <w:t>de  2025</w:t>
            </w:r>
            <w:proofErr w:type="gramEnd"/>
          </w:p>
        </w:tc>
        <w:tc>
          <w:tcPr>
            <w:tcW w:w="6423" w:type="dxa"/>
          </w:tcPr>
          <w:p w:rsidR="00912D99" w:rsidRDefault="00E9611B">
            <w:pPr>
              <w:jc w:val="both"/>
              <w:rPr>
                <w:rFonts w:ascii="Arial" w:eastAsia="Arial" w:hAnsi="Arial" w:cs="Arial"/>
                <w:color w:val="000000"/>
                <w:sz w:val="22"/>
                <w:szCs w:val="22"/>
              </w:rPr>
            </w:pPr>
            <w:r>
              <w:rPr>
                <w:rFonts w:ascii="Arial" w:eastAsia="Arial" w:hAnsi="Arial" w:cs="Arial"/>
                <w:color w:val="000000"/>
                <w:sz w:val="22"/>
                <w:szCs w:val="22"/>
              </w:rPr>
              <w:t>Se establecen</w:t>
            </w:r>
            <w:r>
              <w:rPr>
                <w:rFonts w:ascii="Arial" w:eastAsia="Arial" w:hAnsi="Arial" w:cs="Arial"/>
                <w:color w:val="000000"/>
                <w:sz w:val="22"/>
                <w:szCs w:val="22"/>
              </w:rPr>
              <w:t xml:space="preserve"> los lineamientos generales para la generación del ahorro frente a la apropiación inicial en gastos de funcionamiento y en los proyectos que tengan definidos productos de fortalecimiento institucional según la herramienta PMR o en aquellos que incluyan la </w:t>
            </w:r>
            <w:r>
              <w:rPr>
                <w:rFonts w:ascii="Arial" w:eastAsia="Arial" w:hAnsi="Arial" w:cs="Arial"/>
                <w:color w:val="000000"/>
                <w:sz w:val="22"/>
                <w:szCs w:val="22"/>
              </w:rPr>
              <w:t>contratación de acciones relacionadas con su equivalente en el presupuesto de Gastos de Inversión.</w:t>
            </w:r>
          </w:p>
          <w:p w:rsidR="00912D99" w:rsidRDefault="00912D99">
            <w:pPr>
              <w:ind w:firstLine="720"/>
              <w:rPr>
                <w:rFonts w:ascii="Arial" w:eastAsia="Arial" w:hAnsi="Arial" w:cs="Arial"/>
                <w:sz w:val="22"/>
                <w:szCs w:val="22"/>
              </w:rPr>
            </w:pPr>
          </w:p>
        </w:tc>
      </w:tr>
    </w:tbl>
    <w:p w:rsidR="00912D99" w:rsidRDefault="00E9611B">
      <w:pPr>
        <w:jc w:val="both"/>
        <w:rPr>
          <w:rFonts w:ascii="IBM Plex Sans" w:eastAsia="IBM Plex Sans" w:hAnsi="IBM Plex Sans" w:cs="IBM Plex Sans"/>
        </w:rPr>
      </w:pPr>
      <w:r>
        <w:rPr>
          <w:rFonts w:ascii="IBM Plex Sans" w:eastAsia="IBM Plex Sans" w:hAnsi="IBM Plex Sans" w:cs="IBM Plex Sans"/>
          <w:sz w:val="20"/>
          <w:szCs w:val="20"/>
        </w:rPr>
        <w:t>Tabla 2. Normatividad aplicable</w:t>
      </w:r>
    </w:p>
    <w:p w:rsidR="00912D99" w:rsidRDefault="00E9611B">
      <w:pPr>
        <w:pStyle w:val="Ttulo1"/>
        <w:numPr>
          <w:ilvl w:val="0"/>
          <w:numId w:val="1"/>
        </w:numPr>
        <w:jc w:val="both"/>
        <w:rPr>
          <w:rFonts w:ascii="IBM Plex Sans" w:eastAsia="IBM Plex Sans" w:hAnsi="IBM Plex Sans" w:cs="IBM Plex Sans"/>
          <w:b/>
          <w:bCs/>
          <w:sz w:val="22"/>
          <w:szCs w:val="22"/>
        </w:rPr>
      </w:pPr>
      <w:bookmarkStart w:id="20" w:name="_heading=h.x3apzz881hyu" w:colFirst="0" w:colLast="0"/>
      <w:bookmarkEnd w:id="20"/>
      <w:r>
        <w:rPr>
          <w:rFonts w:ascii="IBM Plex Sans" w:eastAsia="IBM Plex Sans" w:hAnsi="IBM Plex Sans" w:cs="IBM Plex Sans"/>
          <w:b/>
          <w:bCs/>
          <w:sz w:val="22"/>
          <w:szCs w:val="22"/>
        </w:rPr>
        <w:t>Desarrollo</w:t>
      </w:r>
    </w:p>
    <w:p w:rsidR="00912D99" w:rsidRDefault="00E9611B">
      <w:pPr>
        <w:widowControl w:val="0"/>
        <w:pBdr>
          <w:top w:val="nil"/>
          <w:left w:val="nil"/>
          <w:bottom w:val="nil"/>
          <w:right w:val="nil"/>
          <w:between w:val="nil"/>
        </w:pBdr>
        <w:spacing w:before="251" w:line="228" w:lineRule="auto"/>
        <w:ind w:right="285"/>
        <w:jc w:val="both"/>
        <w:rPr>
          <w:color w:val="000000"/>
        </w:rPr>
      </w:pPr>
      <w:bookmarkStart w:id="21" w:name="_heading=h.1lyp1mmui6rg" w:colFirst="0" w:colLast="0"/>
      <w:bookmarkEnd w:id="21"/>
      <w:r>
        <w:rPr>
          <w:color w:val="000000"/>
        </w:rPr>
        <w:t>Con el propósito de fortalecer la implementación del Plan de Austeridad y asegurar una gestión responsable y eficiente de los recursos institucionales, la sección organiza los Ejes Estratégicos Priorizados en fases que buscan un avance ordenado y coherente</w:t>
      </w:r>
      <w:r>
        <w:rPr>
          <w:color w:val="000000"/>
        </w:rPr>
        <w:t xml:space="preserve">. Cada fase está diseñada para orientar las acciones necesarias, cubriendo desde la apropiación de los lineamientos hasta la ejecución, consolidación de la información, socialización de los avances y, finalmente, la evaluación de los resultados alcanzados </w:t>
      </w:r>
      <w:r>
        <w:rPr>
          <w:color w:val="000000"/>
        </w:rPr>
        <w:t>durante la vigencia.</w:t>
      </w:r>
    </w:p>
    <w:p w:rsidR="00912D99" w:rsidRDefault="00E9611B">
      <w:pPr>
        <w:widowControl w:val="0"/>
        <w:pBdr>
          <w:top w:val="nil"/>
          <w:left w:val="nil"/>
          <w:bottom w:val="nil"/>
          <w:right w:val="nil"/>
          <w:between w:val="nil"/>
        </w:pBdr>
        <w:spacing w:before="251" w:line="228" w:lineRule="auto"/>
        <w:ind w:right="285"/>
        <w:jc w:val="both"/>
        <w:rPr>
          <w:color w:val="000000"/>
        </w:rPr>
      </w:pPr>
      <w:r>
        <w:t xml:space="preserve">Con el fin de fortalecer la implementación del Plan de Austeridad del Gasto Institucional y garantizar una gestión responsable, eficiente y transparente de los recursos públicos, esta sección presenta el desarrollo de los </w:t>
      </w:r>
      <w:r>
        <w:t>Ejes Estratég</w:t>
      </w:r>
      <w:r>
        <w:t>icos Priorizados</w:t>
      </w:r>
      <w:r>
        <w:rPr>
          <w:b/>
          <w:bCs/>
        </w:rPr>
        <w:t>,</w:t>
      </w:r>
      <w:r>
        <w:t xml:space="preserve"> estructurados en fases que permiten una ejecución ordenada, coherente y articulada. Cada fase orienta las acciones necesarias para la correcta aplicación del Plan, abarcando la apropiación de los lineamientos, la ejecución de las medidas </w:t>
      </w:r>
      <w:r>
        <w:t>de austeridad, la consolidación y socialización de la información, así como el seguimiento y la evaluación de los resultados obtenidos durante la vigencia, asegurando la trazabilidad y el cumplimiento de los objetivos propuestos.</w:t>
      </w:r>
    </w:p>
    <w:p w:rsidR="00912D99" w:rsidRDefault="00912D99">
      <w:pPr>
        <w:jc w:val="both"/>
        <w:rPr>
          <w:rFonts w:ascii="IBM Plex Sans" w:eastAsia="IBM Plex Sans" w:hAnsi="IBM Plex Sans" w:cs="IBM Plex Sans"/>
          <w:color w:val="BFBFBF"/>
        </w:rPr>
      </w:pPr>
    </w:p>
    <w:p w:rsidR="00912D99" w:rsidRDefault="00E9611B">
      <w:pPr>
        <w:ind w:left="720"/>
        <w:jc w:val="both"/>
        <w:rPr>
          <w:rFonts w:ascii="IBM Plex Sans" w:eastAsia="IBM Plex Sans" w:hAnsi="IBM Plex Sans" w:cs="IBM Plex Sans"/>
          <w:b/>
          <w:bCs/>
        </w:rPr>
      </w:pPr>
      <w:bookmarkStart w:id="22" w:name="_heading=h.qhvb13b5mrn9" w:colFirst="0" w:colLast="0"/>
      <w:bookmarkEnd w:id="22"/>
      <w:r>
        <w:rPr>
          <w:rFonts w:ascii="IBM Plex Sans" w:eastAsia="IBM Plex Sans" w:hAnsi="IBM Plex Sans" w:cs="IBM Plex Sans"/>
          <w:b/>
          <w:bCs/>
        </w:rPr>
        <w:t>6.1 Diagnóstico actual de</w:t>
      </w:r>
      <w:r>
        <w:rPr>
          <w:rFonts w:ascii="IBM Plex Sans" w:eastAsia="IBM Plex Sans" w:hAnsi="IBM Plex Sans" w:cs="IBM Plex Sans"/>
          <w:b/>
          <w:bCs/>
        </w:rPr>
        <w:t>l plan</w:t>
      </w:r>
    </w:p>
    <w:p w:rsidR="00912D99" w:rsidRDefault="00E9611B">
      <w:pPr>
        <w:widowControl w:val="0"/>
        <w:pBdr>
          <w:top w:val="nil"/>
          <w:left w:val="nil"/>
          <w:bottom w:val="nil"/>
          <w:right w:val="nil"/>
          <w:between w:val="nil"/>
        </w:pBdr>
        <w:spacing w:before="251" w:line="228" w:lineRule="auto"/>
        <w:ind w:right="285"/>
        <w:jc w:val="both"/>
      </w:pPr>
      <w:r>
        <w:t xml:space="preserve">El diagnóstico actual del Plan de Austeridad del Gasto Institucional refleja la situación de la Empresa frente a la racionalización, eficiencia y control del gasto público, permitiendo </w:t>
      </w:r>
      <w:r>
        <w:lastRenderedPageBreak/>
        <w:t xml:space="preserve">identificar los avances alcanzados, las fortalezas consolidadas </w:t>
      </w:r>
      <w:r>
        <w:t>y las oportunidades de mejora que orientan la formulación y priorización de las acciones estratégicas para la vigencia.</w:t>
      </w:r>
    </w:p>
    <w:p w:rsidR="00912D99" w:rsidRDefault="00E9611B">
      <w:pPr>
        <w:widowControl w:val="0"/>
        <w:pBdr>
          <w:top w:val="nil"/>
          <w:left w:val="nil"/>
          <w:bottom w:val="nil"/>
          <w:right w:val="nil"/>
          <w:between w:val="nil"/>
        </w:pBdr>
        <w:spacing w:before="251" w:line="228" w:lineRule="auto"/>
        <w:ind w:right="285"/>
        <w:jc w:val="both"/>
      </w:pPr>
      <w:r>
        <w:t>Alineación Estratégica y Fortalezas</w:t>
      </w:r>
    </w:p>
    <w:p w:rsidR="00912D99" w:rsidRDefault="00E9611B">
      <w:pPr>
        <w:widowControl w:val="0"/>
        <w:pBdr>
          <w:top w:val="nil"/>
          <w:left w:val="nil"/>
          <w:bottom w:val="nil"/>
          <w:right w:val="nil"/>
          <w:between w:val="nil"/>
        </w:pBdr>
        <w:spacing w:before="251" w:line="228" w:lineRule="auto"/>
        <w:ind w:right="285"/>
        <w:jc w:val="both"/>
      </w:pPr>
      <w:r>
        <w:t>El Plan de Austeridad se encuentra formalmente alineado con el objetivo estratégico institucional “O</w:t>
      </w:r>
      <w:r>
        <w:t>ptimizar la planeación y gestión institucional orientada a resultados”, establecido en el Plan Estratégico - Revitalización Urbana 2024 - 2027, lo cual evidencia su coherencia con la planeación estratégica y su contribución al fortalecimiento del desempeño</w:t>
      </w:r>
      <w:r>
        <w:t xml:space="preserve"> institucional.</w:t>
      </w:r>
    </w:p>
    <w:p w:rsidR="00912D99" w:rsidRDefault="00E9611B">
      <w:pPr>
        <w:widowControl w:val="0"/>
        <w:pBdr>
          <w:top w:val="nil"/>
          <w:left w:val="nil"/>
          <w:bottom w:val="nil"/>
          <w:right w:val="nil"/>
          <w:between w:val="nil"/>
        </w:pBdr>
        <w:spacing w:before="251" w:line="228" w:lineRule="auto"/>
        <w:ind w:right="285"/>
        <w:jc w:val="both"/>
      </w:pPr>
      <w:r>
        <w:t>En concordancia con los lineamientos del Modelo Integrado de Planeación y Gestión (MIPG), el Plan promueve la aplicación de prácticas responsables de racionalización del gasto, transparencia, integridad y eficiencia administrativa, consolidándose como un i</w:t>
      </w:r>
      <w:r>
        <w:t>nstrumento de apoyo a la toma de decisiones y a la sostenibilidad financiera de la Empresa.</w:t>
      </w:r>
    </w:p>
    <w:p w:rsidR="00912D99" w:rsidRDefault="00E9611B">
      <w:pPr>
        <w:widowControl w:val="0"/>
        <w:pBdr>
          <w:top w:val="nil"/>
          <w:left w:val="nil"/>
          <w:bottom w:val="nil"/>
          <w:right w:val="nil"/>
          <w:between w:val="nil"/>
        </w:pBdr>
        <w:spacing w:before="251" w:line="228" w:lineRule="auto"/>
        <w:ind w:right="285"/>
        <w:jc w:val="both"/>
      </w:pPr>
      <w:r>
        <w:t>La Empresa ha demostrado una aplicación progresiva y sistemática de medidas de austeridad durante los últimos años, evidenciando continuidad en las acciones orienta</w:t>
      </w:r>
      <w:r>
        <w:t>das a la optimización del gasto público. En este marco, se destaca el cumplimiento de las metas de ahorro establecidas en rubros como la telefonía móvil celular, así como en otros conceptos asociados a servicios públicos como energía y agua, y recursos adm</w:t>
      </w:r>
      <w:r>
        <w:t>inistrativos, resultado</w:t>
      </w:r>
      <w:r>
        <w:rPr>
          <w:color w:val="FF0000"/>
        </w:rPr>
        <w:t xml:space="preserve"> </w:t>
      </w:r>
      <w:r>
        <w:t>de la implementación de controles, ajustes en los consumos y optimización de contratos y condiciones de prestación.</w:t>
      </w:r>
    </w:p>
    <w:p w:rsidR="00912D99" w:rsidRDefault="00E9611B">
      <w:pPr>
        <w:widowControl w:val="0"/>
        <w:pBdr>
          <w:top w:val="nil"/>
          <w:left w:val="nil"/>
          <w:bottom w:val="nil"/>
          <w:right w:val="nil"/>
          <w:between w:val="nil"/>
        </w:pBdr>
        <w:spacing w:before="251" w:line="228" w:lineRule="auto"/>
        <w:ind w:right="285"/>
        <w:jc w:val="both"/>
      </w:pPr>
      <w:r>
        <w:t>Adicionalmente, se evidencian avances significativos en la adopción de prácticas de racionalización del gasto relaci</w:t>
      </w:r>
      <w:r>
        <w:t>onadas con la administración y uso eficiente de bienes, servicios y recursos institucionales, así como en la generación de información para el seguimiento y reporte de los resultados obtenidos.</w:t>
      </w:r>
    </w:p>
    <w:p w:rsidR="00912D99" w:rsidRPr="00217313" w:rsidRDefault="00E9611B">
      <w:pPr>
        <w:widowControl w:val="0"/>
        <w:pBdr>
          <w:top w:val="nil"/>
          <w:left w:val="nil"/>
          <w:bottom w:val="nil"/>
          <w:right w:val="nil"/>
          <w:between w:val="nil"/>
        </w:pBdr>
        <w:spacing w:before="251" w:line="228" w:lineRule="auto"/>
        <w:ind w:right="285"/>
        <w:jc w:val="both"/>
        <w:rPr>
          <w:b/>
        </w:rPr>
      </w:pPr>
      <w:r w:rsidRPr="00217313">
        <w:rPr>
          <w:b/>
        </w:rPr>
        <w:t>Oportunidades de Mejora y Retos</w:t>
      </w:r>
    </w:p>
    <w:p w:rsidR="00912D99" w:rsidRDefault="00E9611B">
      <w:pPr>
        <w:widowControl w:val="0"/>
        <w:pBdr>
          <w:top w:val="nil"/>
          <w:left w:val="nil"/>
          <w:bottom w:val="nil"/>
          <w:right w:val="nil"/>
          <w:between w:val="nil"/>
        </w:pBdr>
        <w:spacing w:before="251" w:line="228" w:lineRule="auto"/>
        <w:ind w:right="285"/>
        <w:jc w:val="both"/>
      </w:pPr>
      <w:r>
        <w:t>No obstante, los avances alcan</w:t>
      </w:r>
      <w:r>
        <w:t>zados y, los diagnósticos identifican oportunidades de mejora asociadas a la consolidación de procesos internos, la reducción de gastos no esenciales y el fortalecimiento de los mecanismos de control, seguimiento y evaluación del gasto institucional.</w:t>
      </w:r>
    </w:p>
    <w:p w:rsidR="00912D99" w:rsidRDefault="00E9611B">
      <w:pPr>
        <w:widowControl w:val="0"/>
        <w:pBdr>
          <w:top w:val="nil"/>
          <w:left w:val="nil"/>
          <w:bottom w:val="nil"/>
          <w:right w:val="nil"/>
          <w:between w:val="nil"/>
        </w:pBdr>
        <w:spacing w:before="251" w:line="228" w:lineRule="auto"/>
        <w:ind w:right="285"/>
        <w:jc w:val="both"/>
      </w:pPr>
      <w:r>
        <w:t>Algun</w:t>
      </w:r>
      <w:r>
        <w:t>as líneas específicas del gasto presentan variaciones asociadas al crecimiento de la operación y al cumplimiento de los compromisos misionales de la Empresa, los cuales requieren continuidad y adecuada planeación. Esta situación plantea la necesidad de for</w:t>
      </w:r>
      <w:r>
        <w:t>talecer los criterios de priorización del gasto y la planeación presupuestal, asegurando que los recursos se orienten de manera eficiente hacia los objetivos estratégicos.</w:t>
      </w:r>
    </w:p>
    <w:p w:rsidR="00912D99" w:rsidRDefault="00E9611B">
      <w:pPr>
        <w:widowControl w:val="0"/>
        <w:pBdr>
          <w:top w:val="nil"/>
          <w:left w:val="nil"/>
          <w:bottom w:val="nil"/>
          <w:right w:val="nil"/>
          <w:between w:val="nil"/>
        </w:pBdr>
        <w:spacing w:before="251" w:line="228" w:lineRule="auto"/>
        <w:ind w:right="285"/>
        <w:jc w:val="both"/>
      </w:pPr>
      <w:r>
        <w:t>En este contexto, el diagnóstico del Plan de Austeridad constituye la base para la d</w:t>
      </w:r>
      <w:r>
        <w:t>efinición de los Ejes Estratégicos Priorizados y las fases de implementación, seguimiento y evaluación, orientadas a consolidar los logros alcanzados y a subsanar las oportunidades de mejora identificadas, garantizando una gestión eficiente, transparente y</w:t>
      </w:r>
      <w:r>
        <w:t xml:space="preserve"> sostenible de los recursos institucionales.</w:t>
      </w:r>
    </w:p>
    <w:p w:rsidR="00912D99" w:rsidRDefault="00912D99">
      <w:pPr>
        <w:ind w:left="720"/>
        <w:jc w:val="both"/>
        <w:rPr>
          <w:rFonts w:ascii="IBM Plex Sans" w:eastAsia="IBM Plex Sans" w:hAnsi="IBM Plex Sans" w:cs="IBM Plex Sans"/>
          <w:b/>
          <w:bCs/>
        </w:rPr>
      </w:pPr>
    </w:p>
    <w:p w:rsidR="00912D99" w:rsidRDefault="00E9611B">
      <w:pPr>
        <w:ind w:left="720"/>
        <w:jc w:val="both"/>
        <w:rPr>
          <w:rFonts w:ascii="IBM Plex Sans" w:eastAsia="IBM Plex Sans" w:hAnsi="IBM Plex Sans" w:cs="IBM Plex Sans"/>
          <w:b/>
          <w:bCs/>
        </w:rPr>
      </w:pPr>
      <w:r>
        <w:rPr>
          <w:rFonts w:ascii="IBM Plex Sans" w:eastAsia="IBM Plex Sans" w:hAnsi="IBM Plex Sans" w:cs="IBM Plex Sans"/>
          <w:b/>
          <w:bCs/>
        </w:rPr>
        <w:t>6.2 Ejes estratégicos Priorizados</w:t>
      </w:r>
    </w:p>
    <w:p w:rsidR="00912D99" w:rsidRDefault="00912D99">
      <w:pPr>
        <w:ind w:left="720"/>
        <w:jc w:val="both"/>
        <w:rPr>
          <w:rFonts w:ascii="IBM Plex Sans" w:eastAsia="IBM Plex Sans" w:hAnsi="IBM Plex Sans" w:cs="IBM Plex Sans"/>
          <w:b/>
          <w:bCs/>
        </w:rPr>
      </w:pPr>
    </w:p>
    <w:p w:rsidR="00912D99" w:rsidRDefault="00E9611B">
      <w:pPr>
        <w:widowControl w:val="0"/>
        <w:pBdr>
          <w:top w:val="nil"/>
          <w:left w:val="nil"/>
          <w:bottom w:val="nil"/>
          <w:right w:val="nil"/>
          <w:between w:val="nil"/>
        </w:pBdr>
        <w:spacing w:before="251" w:line="228" w:lineRule="auto"/>
        <w:ind w:right="285"/>
        <w:jc w:val="both"/>
      </w:pPr>
      <w:r>
        <w:t xml:space="preserve">Con el propósito de fortalecer la implementación del Plan de Austeridad del Gasto Institucional y garantizar una gestión responsable, eficiente y transparente de los recursos </w:t>
      </w:r>
      <w:r>
        <w:t>públicos, se han definido Ejes Estratégicos Priorizados, organizados en fases que permiten avanzar de manera ordenada, coherente y articulada durante la vigencia. Estas fases estructuran el ciclo completo del Plan, desde la apropiación de los lineamientos,</w:t>
      </w:r>
      <w:r>
        <w:t xml:space="preserve"> pasando por la implementación y control de las medidas de austeridad, hasta la consolidación, socialización, seguimiento y evaluación de los resultados obtenidos.</w:t>
      </w:r>
    </w:p>
    <w:p w:rsidR="00912D99" w:rsidRDefault="00E9611B">
      <w:pPr>
        <w:widowControl w:val="0"/>
        <w:pBdr>
          <w:top w:val="nil"/>
          <w:left w:val="nil"/>
          <w:bottom w:val="nil"/>
          <w:right w:val="nil"/>
          <w:between w:val="nil"/>
        </w:pBdr>
        <w:spacing w:before="251" w:line="228" w:lineRule="auto"/>
        <w:ind w:right="285"/>
        <w:jc w:val="both"/>
      </w:pPr>
      <w:r>
        <w:t>La definición de estos ejes responde al diagnóstico institucional, el cual evidencia avances</w:t>
      </w:r>
      <w:r>
        <w:t xml:space="preserve"> significativos en la racionalización del gasto incluyendo el cumplimiento de metas de ahorro en consumos de servicios públicos como energía y agua, telefonía móvil celular y otros rubros y, a su vez, identifica oportunidades de mejora que requieren fortal</w:t>
      </w:r>
      <w:r>
        <w:t>ecer la planeación, el control y la cultura organizacional orientada al uso eficiente de los recursos.</w:t>
      </w:r>
    </w:p>
    <w:p w:rsidR="00912D99" w:rsidRDefault="00912D99">
      <w:pPr>
        <w:jc w:val="both"/>
        <w:rPr>
          <w:rFonts w:ascii="IBM Plex Sans" w:eastAsia="IBM Plex Sans" w:hAnsi="IBM Plex Sans" w:cs="IBM Plex Sans"/>
          <w:b/>
          <w:bCs/>
        </w:rPr>
      </w:pPr>
    </w:p>
    <w:p w:rsidR="00912D99" w:rsidRDefault="00E9611B">
      <w:pPr>
        <w:jc w:val="both"/>
        <w:rPr>
          <w:b/>
          <w:bCs/>
          <w:color w:val="000000"/>
        </w:rPr>
      </w:pPr>
      <w:r>
        <w:rPr>
          <w:b/>
          <w:bCs/>
          <w:color w:val="000000"/>
        </w:rPr>
        <w:t xml:space="preserve">Fase 1 Apropiación de lineamientos  </w:t>
      </w:r>
    </w:p>
    <w:p w:rsidR="00912D99" w:rsidRDefault="00E9611B">
      <w:pPr>
        <w:widowControl w:val="0"/>
        <w:pBdr>
          <w:top w:val="nil"/>
          <w:left w:val="nil"/>
          <w:bottom w:val="nil"/>
          <w:right w:val="nil"/>
          <w:between w:val="nil"/>
        </w:pBdr>
        <w:spacing w:before="251" w:line="228" w:lineRule="auto"/>
        <w:ind w:right="285"/>
        <w:jc w:val="both"/>
      </w:pPr>
      <w:r>
        <w:t>La Fase 1 constituye un pilar fundamental para la implementación del Plan de Austeridad, en la medida en que busca generar conciencia institucional, compromiso y corresponsabilidad por parte de los servidores públicos y contratistas frente al uso eficiente</w:t>
      </w:r>
      <w:r>
        <w:t xml:space="preserve"> de los recursos y la racionalización del gasto.</w:t>
      </w:r>
    </w:p>
    <w:p w:rsidR="00912D99" w:rsidRDefault="00E9611B">
      <w:pPr>
        <w:widowControl w:val="0"/>
        <w:pBdr>
          <w:top w:val="nil"/>
          <w:left w:val="nil"/>
          <w:bottom w:val="nil"/>
          <w:right w:val="nil"/>
          <w:between w:val="nil"/>
        </w:pBdr>
        <w:spacing w:before="251" w:line="228" w:lineRule="auto"/>
        <w:ind w:right="285"/>
        <w:jc w:val="both"/>
      </w:pPr>
      <w:r>
        <w:t xml:space="preserve">En el marco de la ejecución de la PL 05 – Política de Austeridad, la Dirección Administrativa y de </w:t>
      </w:r>
      <w:proofErr w:type="spellStart"/>
      <w:r>
        <w:t>TICs</w:t>
      </w:r>
      <w:proofErr w:type="spellEnd"/>
      <w:r>
        <w:t xml:space="preserve"> desarrollará acciones orientadas a la divulgación, capacitación y sensibilización, con el fin de promov</w:t>
      </w:r>
      <w:r>
        <w:t>er una cultura organizacional basada en el ahorro, la eficiencia administrativa y el uso responsable de los bienes y servicios institucionales.</w:t>
      </w:r>
    </w:p>
    <w:p w:rsidR="00912D99" w:rsidRDefault="00E9611B">
      <w:pPr>
        <w:widowControl w:val="0"/>
        <w:pBdr>
          <w:top w:val="nil"/>
          <w:left w:val="nil"/>
          <w:bottom w:val="nil"/>
          <w:right w:val="nil"/>
          <w:between w:val="nil"/>
        </w:pBdr>
        <w:spacing w:before="251" w:line="228" w:lineRule="auto"/>
        <w:ind w:right="285"/>
        <w:jc w:val="both"/>
      </w:pPr>
      <w:r>
        <w:t>En esta fase se adelantarán las siguientes acciones:</w:t>
      </w:r>
    </w:p>
    <w:p w:rsidR="00912D99" w:rsidRDefault="00E9611B">
      <w:pPr>
        <w:widowControl w:val="0"/>
        <w:numPr>
          <w:ilvl w:val="0"/>
          <w:numId w:val="2"/>
        </w:numPr>
        <w:pBdr>
          <w:top w:val="nil"/>
          <w:left w:val="nil"/>
          <w:bottom w:val="nil"/>
          <w:right w:val="nil"/>
          <w:between w:val="nil"/>
        </w:pBdr>
        <w:spacing w:before="251" w:line="228" w:lineRule="auto"/>
        <w:ind w:right="285"/>
        <w:jc w:val="both"/>
      </w:pPr>
      <w:r>
        <w:rPr>
          <w:color w:val="000000"/>
        </w:rPr>
        <w:t>Gestión de capacitaciones y jornadas de sensibilización dirigidas a servidores públicos y contratistas, enfocadas en la importancia de la austeridad del gasto y en el impacto positivo de la optimización de los recursos en la sostenibilidad financiera y ope</w:t>
      </w:r>
      <w:r>
        <w:rPr>
          <w:color w:val="000000"/>
        </w:rPr>
        <w:t>rativa de la Empresa.</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Divulgación de los lineamientos de la Política de Austeridad a través de los canales institucionales (correo electrónico, intranet y circulares internas), garantizando su conocimiento, comprensión y apropiación.</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Socialización de buena</w:t>
      </w:r>
      <w:r>
        <w:rPr>
          <w:color w:val="000000"/>
        </w:rPr>
        <w:t>s prácticas de austeridad y eficiencia, incentivando comportamientos responsables en el ejercicio de las funciones diarias.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Fortalecimiento de la cultura organizacional orientada al autocontrol, la integridad y la corresponsabilidad en el manejo de los rec</w:t>
      </w:r>
      <w:r>
        <w:rPr>
          <w:color w:val="000000"/>
        </w:rPr>
        <w:t>ursos públicos.</w:t>
      </w:r>
    </w:p>
    <w:p w:rsidR="00912D99" w:rsidRDefault="00912D99">
      <w:pPr>
        <w:widowControl w:val="0"/>
        <w:pBdr>
          <w:top w:val="nil"/>
          <w:left w:val="nil"/>
          <w:bottom w:val="nil"/>
          <w:right w:val="nil"/>
          <w:between w:val="nil"/>
        </w:pBdr>
        <w:spacing w:before="251" w:line="228" w:lineRule="auto"/>
        <w:ind w:right="285"/>
        <w:jc w:val="both"/>
      </w:pPr>
    </w:p>
    <w:p w:rsidR="00912D99" w:rsidRDefault="00E9611B">
      <w:pPr>
        <w:spacing w:before="280" w:after="280" w:line="240" w:lineRule="auto"/>
      </w:pPr>
      <w:r>
        <w:t>Durante esta fase se profundizará especialmente en los siguientes focos de acción:</w:t>
      </w:r>
    </w:p>
    <w:p w:rsidR="00912D99" w:rsidRDefault="00E9611B">
      <w:pPr>
        <w:widowControl w:val="0"/>
        <w:numPr>
          <w:ilvl w:val="0"/>
          <w:numId w:val="2"/>
        </w:numPr>
        <w:pBdr>
          <w:top w:val="nil"/>
          <w:left w:val="nil"/>
          <w:bottom w:val="nil"/>
          <w:right w:val="nil"/>
          <w:between w:val="nil"/>
        </w:pBdr>
        <w:spacing w:before="251" w:line="228" w:lineRule="auto"/>
        <w:ind w:right="285"/>
        <w:jc w:val="both"/>
      </w:pPr>
      <w:r>
        <w:rPr>
          <w:color w:val="000000"/>
        </w:rPr>
        <w:t>Uso racional de los servicios públicos (energía, agua y telecomunicaciones).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Optimización de los recursos tecnológicos y administrativos.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lastRenderedPageBreak/>
        <w:t>Racionalización de las horas extras, promoviendo una adecuada planeación de las actividades, eficiencia en la jornada laboral y la autorización excepcional y debidamente justificada de horas adicionales.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Control y racionalización del gasto en viáticos, tra</w:t>
      </w:r>
      <w:r>
        <w:rPr>
          <w:color w:val="000000"/>
        </w:rPr>
        <w:t>nsporte y comisiones.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Uso adecuado y responsable de los bienes muebles, equipos y vehículos oficiales.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Reducción y uso eficiente del papel, fortaleciendo la Política de Cero Papel mediante la digitalización de documentos, la gestión electrónica de trámites</w:t>
      </w:r>
      <w:r>
        <w:rPr>
          <w:color w:val="000000"/>
        </w:rPr>
        <w:t xml:space="preserve"> y la minimización de impresiones físicas, priorizando el uso de medios digitales.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Planeación eficiente de las adquisiciones y procesos de contratación, evitando compras innecesarias y promoviendo la reutilización de recursos existentes.</w:t>
      </w:r>
    </w:p>
    <w:p w:rsidR="00912D99" w:rsidRDefault="00E9611B">
      <w:pPr>
        <w:widowControl w:val="0"/>
        <w:pBdr>
          <w:top w:val="nil"/>
          <w:left w:val="nil"/>
          <w:bottom w:val="nil"/>
          <w:right w:val="nil"/>
          <w:between w:val="nil"/>
        </w:pBdr>
        <w:spacing w:before="251" w:line="228" w:lineRule="auto"/>
        <w:ind w:right="285"/>
        <w:jc w:val="both"/>
      </w:pPr>
      <w:r>
        <w:t>La correcta ejecuc</w:t>
      </w:r>
      <w:r>
        <w:t>ión de esta fase permitirá sentar las bases para las etapas posteriores del Plan, asegurando la adecuada comprensión y aplicación de los lineamientos de austeridad en toda la organización.</w:t>
      </w:r>
    </w:p>
    <w:p w:rsidR="00912D99" w:rsidRDefault="00E9611B">
      <w:pPr>
        <w:widowControl w:val="0"/>
        <w:pBdr>
          <w:top w:val="nil"/>
          <w:left w:val="nil"/>
          <w:bottom w:val="nil"/>
          <w:right w:val="nil"/>
          <w:between w:val="nil"/>
        </w:pBdr>
        <w:spacing w:before="248" w:line="229" w:lineRule="auto"/>
        <w:ind w:right="285"/>
        <w:jc w:val="both"/>
        <w:rPr>
          <w:color w:val="000000"/>
        </w:rPr>
      </w:pPr>
      <w:r>
        <w:rPr>
          <w:color w:val="000000"/>
        </w:rPr>
        <w:t>.</w:t>
      </w:r>
    </w:p>
    <w:p w:rsidR="00912D99" w:rsidRDefault="00E9611B">
      <w:pPr>
        <w:jc w:val="both"/>
        <w:rPr>
          <w:rFonts w:ascii="IBM Plex Sans" w:eastAsia="IBM Plex Sans" w:hAnsi="IBM Plex Sans" w:cs="IBM Plex Sans"/>
          <w:b/>
          <w:bCs/>
        </w:rPr>
      </w:pPr>
      <w:r>
        <w:rPr>
          <w:rFonts w:ascii="IBM Plex Sans" w:eastAsia="IBM Plex Sans" w:hAnsi="IBM Plex Sans" w:cs="IBM Plex Sans"/>
          <w:b/>
          <w:bCs/>
        </w:rPr>
        <w:t>Fase 2: Implementación y control</w:t>
      </w:r>
    </w:p>
    <w:p w:rsidR="00912D99" w:rsidRDefault="00E9611B">
      <w:pPr>
        <w:widowControl w:val="0"/>
        <w:pBdr>
          <w:top w:val="nil"/>
          <w:left w:val="nil"/>
          <w:bottom w:val="nil"/>
          <w:right w:val="nil"/>
          <w:between w:val="nil"/>
        </w:pBdr>
        <w:spacing w:before="251" w:line="228" w:lineRule="auto"/>
        <w:ind w:right="285"/>
        <w:jc w:val="both"/>
      </w:pPr>
      <w:r>
        <w:t>La Fase 2 tiene como objetivo asegurar la aplicación efectiva de los lineamientos definidos en la Política de Austeridad y fortalecer el seguimiento permanente a las acciones implementadas, con el fin de garantizar la racionalización del gasto y el uso efi</w:t>
      </w:r>
      <w:r>
        <w:t>ciente de los recursos institucionales.</w:t>
      </w:r>
    </w:p>
    <w:p w:rsidR="00912D99" w:rsidRDefault="00E9611B">
      <w:pPr>
        <w:widowControl w:val="0"/>
        <w:pBdr>
          <w:top w:val="nil"/>
          <w:left w:val="nil"/>
          <w:bottom w:val="nil"/>
          <w:right w:val="nil"/>
          <w:between w:val="nil"/>
        </w:pBdr>
        <w:spacing w:before="251" w:line="228" w:lineRule="auto"/>
        <w:ind w:right="285"/>
        <w:jc w:val="both"/>
      </w:pPr>
      <w:r>
        <w:t xml:space="preserve">Durante esta fase, la Dirección Administrativa y de </w:t>
      </w:r>
      <w:proofErr w:type="spellStart"/>
      <w:r>
        <w:t>TICs</w:t>
      </w:r>
      <w:proofErr w:type="spellEnd"/>
      <w:r>
        <w:t>, en articulación con las demás dependencias, será responsable de ejecutar y supervisar las medidas de austeridad mediante las siguientes acciones:</w:t>
      </w:r>
    </w:p>
    <w:p w:rsidR="00912D99" w:rsidRDefault="00E9611B">
      <w:pPr>
        <w:widowControl w:val="0"/>
        <w:numPr>
          <w:ilvl w:val="0"/>
          <w:numId w:val="2"/>
        </w:numPr>
        <w:pBdr>
          <w:top w:val="nil"/>
          <w:left w:val="nil"/>
          <w:bottom w:val="nil"/>
          <w:right w:val="nil"/>
          <w:between w:val="nil"/>
        </w:pBdr>
        <w:spacing w:before="251" w:line="228" w:lineRule="auto"/>
        <w:ind w:right="285"/>
        <w:jc w:val="both"/>
      </w:pPr>
      <w:r>
        <w:rPr>
          <w:color w:val="000000"/>
        </w:rPr>
        <w:t>Implementaci</w:t>
      </w:r>
      <w:r>
        <w:rPr>
          <w:color w:val="000000"/>
        </w:rPr>
        <w:t>ón de los lineamientos de austeridad en los procesos administrativos, operativos y de apoyo, asegurando su aplicación en el desarrollo de las actividades diarias.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 xml:space="preserve">Control y seguimiento periódico al gasto institucional, con énfasis en rubros como servicios </w:t>
      </w:r>
      <w:r>
        <w:rPr>
          <w:color w:val="000000"/>
        </w:rPr>
        <w:t>públicos, horas extras, viáticos, transporte, adquisiciones y demás conceptos susceptibles de racionalización.</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Monitoreo y control de las horas extras, garantizando que su autorización sea excepcional, previamente justificada y debidamente aprobada conform</w:t>
      </w:r>
      <w:r>
        <w:rPr>
          <w:color w:val="000000"/>
        </w:rPr>
        <w:t>e a las necesidades del servicio.</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Ejecución y fortalecimiento de la Política de Cero Papel, promoviendo el uso de medios digitales, la gestión documental electrónica y el control de impresiones.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Supervisión del uso de bienes y recursos institucionales, inc</w:t>
      </w:r>
      <w:r>
        <w:rPr>
          <w:color w:val="000000"/>
        </w:rPr>
        <w:t>luyendo equipos, mobiliario y vehículos oficiales, asegurando su utilización adecuada y alineada con los fines misionales.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Articulación interdependencias para identificar oportunidades de mejora, optimizar procesos y evitar duplicidad de esfuerzos o gastos innecesarios.</w:t>
      </w:r>
    </w:p>
    <w:p w:rsidR="00912D99" w:rsidRDefault="00E9611B">
      <w:pPr>
        <w:widowControl w:val="0"/>
        <w:numPr>
          <w:ilvl w:val="0"/>
          <w:numId w:val="2"/>
        </w:numPr>
        <w:pBdr>
          <w:top w:val="nil"/>
          <w:left w:val="nil"/>
          <w:bottom w:val="nil"/>
          <w:right w:val="nil"/>
          <w:between w:val="nil"/>
        </w:pBdr>
        <w:spacing w:line="228" w:lineRule="auto"/>
        <w:ind w:right="285"/>
        <w:jc w:val="both"/>
        <w:rPr>
          <w:rFonts w:ascii="Times New Roman" w:eastAsia="Times New Roman" w:hAnsi="Times New Roman" w:cs="Times New Roman"/>
          <w:color w:val="000000"/>
          <w:sz w:val="24"/>
          <w:szCs w:val="24"/>
        </w:rPr>
      </w:pPr>
      <w:r>
        <w:rPr>
          <w:color w:val="000000"/>
        </w:rPr>
        <w:t>Registro y documentación de las acciones implementadas, permitiendo evidenciar el cumplimiento de la Política de Austeridad y facilitar la toma de decisiones</w:t>
      </w:r>
      <w:r>
        <w:rPr>
          <w:rFonts w:ascii="Times New Roman" w:eastAsia="Times New Roman" w:hAnsi="Times New Roman" w:cs="Times New Roman"/>
          <w:color w:val="000000"/>
          <w:sz w:val="24"/>
          <w:szCs w:val="24"/>
        </w:rPr>
        <w:t>.</w:t>
      </w:r>
    </w:p>
    <w:p w:rsidR="00912D99" w:rsidRDefault="00E9611B">
      <w:pPr>
        <w:widowControl w:val="0"/>
        <w:pBdr>
          <w:top w:val="nil"/>
          <w:left w:val="nil"/>
          <w:bottom w:val="nil"/>
          <w:right w:val="nil"/>
          <w:between w:val="nil"/>
        </w:pBdr>
        <w:spacing w:before="251" w:line="228" w:lineRule="auto"/>
        <w:ind w:right="285"/>
        <w:jc w:val="both"/>
      </w:pPr>
      <w:r>
        <w:t>La ejecución de esta fase permitirá consolidar la cultura de austeridad en la Empresa, fortalecer</w:t>
      </w:r>
      <w:r>
        <w:t xml:space="preserve"> los mecanismos de control interno y generar información confiable para la evaluación de los resultados.</w:t>
      </w:r>
    </w:p>
    <w:p w:rsidR="00912D99" w:rsidRDefault="00912D99">
      <w:pPr>
        <w:widowControl w:val="0"/>
        <w:pBdr>
          <w:top w:val="nil"/>
          <w:left w:val="nil"/>
          <w:bottom w:val="nil"/>
          <w:right w:val="nil"/>
          <w:between w:val="nil"/>
        </w:pBdr>
        <w:spacing w:before="251" w:line="228" w:lineRule="auto"/>
        <w:ind w:right="285"/>
        <w:jc w:val="both"/>
      </w:pPr>
    </w:p>
    <w:p w:rsidR="00912D99" w:rsidRDefault="00E9611B">
      <w:pPr>
        <w:jc w:val="both"/>
        <w:rPr>
          <w:rFonts w:ascii="IBM Plex Sans" w:eastAsia="IBM Plex Sans" w:hAnsi="IBM Plex Sans" w:cs="IBM Plex Sans"/>
          <w:b/>
          <w:bCs/>
        </w:rPr>
      </w:pPr>
      <w:r>
        <w:rPr>
          <w:rFonts w:ascii="IBM Plex Sans" w:eastAsia="IBM Plex Sans" w:hAnsi="IBM Plex Sans" w:cs="IBM Plex Sans"/>
          <w:b/>
          <w:bCs/>
        </w:rPr>
        <w:t xml:space="preserve">Fase 3 </w:t>
      </w:r>
      <w:r>
        <w:rPr>
          <w:b/>
          <w:bCs/>
          <w:color w:val="000000"/>
        </w:rPr>
        <w:t xml:space="preserve">Socialización de reportes e informes sobre austeridad en la vigencia  </w:t>
      </w:r>
    </w:p>
    <w:p w:rsidR="00912D99" w:rsidRDefault="00E9611B">
      <w:pPr>
        <w:widowControl w:val="0"/>
        <w:pBdr>
          <w:top w:val="nil"/>
          <w:left w:val="nil"/>
          <w:bottom w:val="nil"/>
          <w:right w:val="nil"/>
          <w:between w:val="nil"/>
        </w:pBdr>
        <w:spacing w:before="251" w:line="228" w:lineRule="auto"/>
        <w:ind w:right="285"/>
        <w:jc w:val="both"/>
      </w:pPr>
      <w:r>
        <w:t>La Fase 3 tiene como propósito garantizar la adecuada divulgación, artic</w:t>
      </w:r>
      <w:r>
        <w:t>ulación y transparencia de la información relacionada con la implementación de la Política de Austeridad, así como asegurar el cumplimiento de los requerimientos de reporte establecidos por los entes distritales y la normatividad vigente.</w:t>
      </w:r>
    </w:p>
    <w:p w:rsidR="00912D99" w:rsidRDefault="00E9611B">
      <w:pPr>
        <w:widowControl w:val="0"/>
        <w:pBdr>
          <w:top w:val="nil"/>
          <w:left w:val="nil"/>
          <w:bottom w:val="nil"/>
          <w:right w:val="nil"/>
          <w:between w:val="nil"/>
        </w:pBdr>
        <w:spacing w:before="251" w:line="228" w:lineRule="auto"/>
        <w:ind w:right="285"/>
        <w:jc w:val="both"/>
      </w:pPr>
      <w:r>
        <w:t xml:space="preserve">En esta fase, la </w:t>
      </w:r>
      <w:r>
        <w:t xml:space="preserve">Dirección Administrativa y de </w:t>
      </w:r>
      <w:proofErr w:type="spellStart"/>
      <w:r>
        <w:t>TICs</w:t>
      </w:r>
      <w:proofErr w:type="spellEnd"/>
      <w:r>
        <w:t xml:space="preserve"> orientará y coordinará la gestión de la información a través de las siguientes acciones:</w:t>
      </w:r>
    </w:p>
    <w:p w:rsidR="00912D99" w:rsidRDefault="00E9611B">
      <w:pPr>
        <w:widowControl w:val="0"/>
        <w:numPr>
          <w:ilvl w:val="0"/>
          <w:numId w:val="2"/>
        </w:numPr>
        <w:pBdr>
          <w:top w:val="nil"/>
          <w:left w:val="nil"/>
          <w:bottom w:val="nil"/>
          <w:right w:val="nil"/>
          <w:between w:val="nil"/>
        </w:pBdr>
        <w:spacing w:before="251" w:line="228" w:lineRule="auto"/>
        <w:ind w:right="285"/>
        <w:jc w:val="both"/>
      </w:pPr>
      <w:r>
        <w:rPr>
          <w:color w:val="000000"/>
        </w:rPr>
        <w:t>Socialización a las áreas responsables de los lineamientos relacionados con cronogramas, formatos y mecanismos de reporte de la info</w:t>
      </w:r>
      <w:r>
        <w:rPr>
          <w:color w:val="000000"/>
        </w:rPr>
        <w:t>rmación requerida para la elaboración de los informes de austeridad.</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Coordinación de la consolidación de los reportes, asegurando la oportunidad, consistencia y calidad de la información remitida por las diferentes áreas.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Divulgación periódica de los avances, logros y retos en la implementación de las medidas de austeridad, fortaleciendo la transparencia y la rendición de cuentas.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Articulación con la Oficina de Relacionamiento para la publicación de los informes de austerid</w:t>
      </w:r>
      <w:r>
        <w:rPr>
          <w:color w:val="000000"/>
        </w:rPr>
        <w:t>ad en la página web institucional, en cumplimiento del Acuerdo Distrital 719 de 2018 y el Decreto Distrital 062 de 2025.</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Custodia y organización de la documentación soporte, garantizando la trazabilidad y disponibilidad de la información para procesos de c</w:t>
      </w:r>
      <w:r>
        <w:rPr>
          <w:color w:val="000000"/>
        </w:rPr>
        <w:t>ontrol y auditoría.</w:t>
      </w:r>
    </w:p>
    <w:p w:rsidR="00912D99" w:rsidRDefault="00912D99">
      <w:pPr>
        <w:widowControl w:val="0"/>
        <w:spacing w:before="258" w:line="229" w:lineRule="auto"/>
        <w:ind w:left="2" w:right="331" w:firstLine="16"/>
        <w:jc w:val="both"/>
      </w:pPr>
    </w:p>
    <w:p w:rsidR="00912D99" w:rsidRDefault="00E9611B">
      <w:pPr>
        <w:jc w:val="both"/>
        <w:rPr>
          <w:rFonts w:ascii="IBM Plex Sans" w:eastAsia="IBM Plex Sans" w:hAnsi="IBM Plex Sans" w:cs="IBM Plex Sans"/>
          <w:b/>
          <w:bCs/>
        </w:rPr>
      </w:pPr>
      <w:r>
        <w:rPr>
          <w:rFonts w:ascii="IBM Plex Sans" w:eastAsia="IBM Plex Sans" w:hAnsi="IBM Plex Sans" w:cs="IBM Plex Sans"/>
          <w:b/>
          <w:bCs/>
        </w:rPr>
        <w:t>Fase 4</w:t>
      </w:r>
      <w:r>
        <w:rPr>
          <w:b/>
          <w:bCs/>
          <w:color w:val="000000"/>
        </w:rPr>
        <w:t xml:space="preserve"> Monitoreo y Evaluación  </w:t>
      </w:r>
    </w:p>
    <w:p w:rsidR="00912D99" w:rsidRDefault="00E9611B">
      <w:pPr>
        <w:widowControl w:val="0"/>
        <w:pBdr>
          <w:top w:val="nil"/>
          <w:left w:val="nil"/>
          <w:bottom w:val="nil"/>
          <w:right w:val="nil"/>
          <w:between w:val="nil"/>
        </w:pBdr>
        <w:spacing w:before="251" w:line="228" w:lineRule="auto"/>
        <w:ind w:right="285"/>
        <w:jc w:val="both"/>
      </w:pPr>
      <w:r>
        <w:t>La Fase 4 tiene como objetivo verificar el cumplimiento, la efectividad y el impacto de las medidas implementadas, así como generar información confiable que fortalezca la gestión eficiente de los recurs</w:t>
      </w:r>
      <w:r>
        <w:t>os y el cumplimiento de los principios de transparencia y control.</w:t>
      </w:r>
    </w:p>
    <w:p w:rsidR="00912D99" w:rsidRDefault="00E9611B">
      <w:pPr>
        <w:widowControl w:val="0"/>
        <w:pBdr>
          <w:top w:val="nil"/>
          <w:left w:val="nil"/>
          <w:bottom w:val="nil"/>
          <w:right w:val="nil"/>
          <w:between w:val="nil"/>
        </w:pBdr>
        <w:spacing w:before="251" w:line="228" w:lineRule="auto"/>
        <w:ind w:right="285"/>
        <w:jc w:val="both"/>
      </w:pPr>
      <w:r>
        <w:t>Durante esta fase se desarrollarán las siguientes acciones:</w:t>
      </w:r>
    </w:p>
    <w:p w:rsidR="00912D99" w:rsidRDefault="00E9611B">
      <w:pPr>
        <w:widowControl w:val="0"/>
        <w:numPr>
          <w:ilvl w:val="0"/>
          <w:numId w:val="2"/>
        </w:numPr>
        <w:pBdr>
          <w:top w:val="nil"/>
          <w:left w:val="nil"/>
          <w:bottom w:val="nil"/>
          <w:right w:val="nil"/>
          <w:between w:val="nil"/>
        </w:pBdr>
        <w:spacing w:before="251" w:line="228" w:lineRule="auto"/>
        <w:ind w:right="285"/>
        <w:jc w:val="both"/>
      </w:pPr>
      <w:r>
        <w:rPr>
          <w:color w:val="000000"/>
        </w:rPr>
        <w:t>Consolidación de la información requerida por la Secretaría Distrital de Hacienda, en los formatos y plazos establecidos.</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Atención al seguimiento realizado por la Oficina de Control Interno, conforme al Plan Anual de Auditoría, cuyos informes serán publicados en la página web institucional.</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Consolidación de los informes de austeridad que deben remitirse a la Secretaría Distri</w:t>
      </w:r>
      <w:r>
        <w:rPr>
          <w:color w:val="000000"/>
        </w:rPr>
        <w:t>tal de Hábitat, para su incorporación en los informes de ejecución presupuestal remitidos al Concejo de Bogotá.</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Seguimiento y análisis de resultados, comparando el cumplimiento de las medidas con las metas establecidas, e identificando desviaciones y oport</w:t>
      </w:r>
      <w:r>
        <w:rPr>
          <w:color w:val="000000"/>
        </w:rPr>
        <w:t>unidades de mejora.</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Retroalimentación a las áreas responsables y fortalecimiento de la cultura de eficiencia, autocontrol y responsabilidad.</w:t>
      </w:r>
    </w:p>
    <w:p w:rsidR="00912D99" w:rsidRDefault="00E9611B">
      <w:pPr>
        <w:widowControl w:val="0"/>
        <w:numPr>
          <w:ilvl w:val="0"/>
          <w:numId w:val="2"/>
        </w:numPr>
        <w:pBdr>
          <w:top w:val="nil"/>
          <w:left w:val="nil"/>
          <w:bottom w:val="nil"/>
          <w:right w:val="nil"/>
          <w:between w:val="nil"/>
        </w:pBdr>
        <w:spacing w:line="228" w:lineRule="auto"/>
        <w:ind w:right="285"/>
        <w:jc w:val="both"/>
      </w:pPr>
      <w:r>
        <w:rPr>
          <w:color w:val="000000"/>
        </w:rPr>
        <w:t>Documentación y archivo de evidencias, asegurando la trazabilidad de la información para auditorías internas y exte</w:t>
      </w:r>
      <w:r>
        <w:rPr>
          <w:color w:val="000000"/>
        </w:rPr>
        <w:t>rnas.</w:t>
      </w:r>
    </w:p>
    <w:p w:rsidR="00912D99" w:rsidRDefault="00E9611B">
      <w:pPr>
        <w:widowControl w:val="0"/>
        <w:pBdr>
          <w:top w:val="nil"/>
          <w:left w:val="nil"/>
          <w:bottom w:val="nil"/>
          <w:right w:val="nil"/>
          <w:between w:val="nil"/>
        </w:pBdr>
        <w:spacing w:before="251" w:line="228" w:lineRule="auto"/>
        <w:ind w:right="285"/>
        <w:jc w:val="both"/>
      </w:pPr>
      <w:r>
        <w:t xml:space="preserve">La correcta ejecución de esta fase permitirá verificar el cumplimiento normativo, fortalecer la </w:t>
      </w:r>
      <w:r>
        <w:lastRenderedPageBreak/>
        <w:t>transparencia en la gestión del gasto público y consolidar aprendizajes y buenas prácticas para la mejora continua del Plan de Austeridad en vigencias fut</w:t>
      </w:r>
      <w:r>
        <w:t>uras.</w:t>
      </w: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b/>
          <w:bCs/>
        </w:rPr>
      </w:pPr>
    </w:p>
    <w:p w:rsidR="00912D99" w:rsidRDefault="00E9611B">
      <w:pPr>
        <w:ind w:left="720"/>
        <w:jc w:val="both"/>
        <w:rPr>
          <w:b/>
          <w:bCs/>
          <w:color w:val="000000"/>
        </w:rPr>
      </w:pPr>
      <w:r>
        <w:rPr>
          <w:rFonts w:ascii="IBM Plex Sans" w:eastAsia="IBM Plex Sans" w:hAnsi="IBM Plex Sans" w:cs="IBM Plex Sans"/>
          <w:b/>
          <w:bCs/>
        </w:rPr>
        <w:t xml:space="preserve">7. </w:t>
      </w:r>
      <w:r>
        <w:rPr>
          <w:b/>
          <w:bCs/>
          <w:color w:val="000000"/>
        </w:rPr>
        <w:t>Actividades</w:t>
      </w:r>
    </w:p>
    <w:p w:rsidR="00912D99" w:rsidRDefault="00E9611B">
      <w:pPr>
        <w:widowControl w:val="0"/>
        <w:pBdr>
          <w:top w:val="nil"/>
          <w:left w:val="nil"/>
          <w:bottom w:val="nil"/>
          <w:right w:val="nil"/>
          <w:between w:val="nil"/>
        </w:pBdr>
        <w:spacing w:before="306" w:line="240" w:lineRule="auto"/>
        <w:jc w:val="both"/>
      </w:pPr>
      <w:r>
        <w:t>El desarrollo de actividades por fases organiza de manera estructurada la implementación del Plan de Austeridad, asegurando un avance coherente y medible. Cada fase, apropiación de lineamientos, implementación y control, socialización de reportes, y monito</w:t>
      </w:r>
      <w:r>
        <w:t xml:space="preserve">reo y evaluación contempla acciones específicas, responsables, productos esperados y plazos definidos, lo que permite garantizar la correcta ejecución de las medidas de austeridad, optimizar el uso de los recursos institucionales y facilitar la generación </w:t>
      </w:r>
      <w:r>
        <w:t>de información confiable para la toma de decisiones y la mejora continua.</w:t>
      </w:r>
    </w:p>
    <w:p w:rsidR="00912D99" w:rsidRDefault="00912D99">
      <w:pPr>
        <w:jc w:val="both"/>
      </w:pPr>
    </w:p>
    <w:p w:rsidR="00912D99" w:rsidRDefault="00912D99">
      <w:pPr>
        <w:jc w:val="both"/>
        <w:rPr>
          <w:rFonts w:ascii="IBM Plex Sans" w:eastAsia="IBM Plex Sans" w:hAnsi="IBM Plex Sans" w:cs="IBM Plex Sans"/>
          <w:sz w:val="20"/>
          <w:szCs w:val="20"/>
        </w:rPr>
      </w:pPr>
    </w:p>
    <w:tbl>
      <w:tblPr>
        <w:tblStyle w:val="ab"/>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
        <w:gridCol w:w="1952"/>
        <w:gridCol w:w="2039"/>
        <w:gridCol w:w="1533"/>
        <w:gridCol w:w="1211"/>
        <w:gridCol w:w="746"/>
      </w:tblGrid>
      <w:tr w:rsidR="00912D99">
        <w:trPr>
          <w:tblHeader/>
        </w:trPr>
        <w:tc>
          <w:tcPr>
            <w:tcW w:w="1538" w:type="dxa"/>
            <w:shd w:val="clear" w:color="auto" w:fill="EBF1DD"/>
            <w:vAlign w:val="center"/>
          </w:tcPr>
          <w:p w:rsidR="00912D99" w:rsidRDefault="00E9611B">
            <w:pPr>
              <w:jc w:val="center"/>
              <w:rPr>
                <w:b/>
                <w:bCs/>
                <w:sz w:val="16"/>
                <w:szCs w:val="16"/>
              </w:rPr>
            </w:pPr>
            <w:r>
              <w:rPr>
                <w:b/>
                <w:bCs/>
                <w:sz w:val="16"/>
                <w:szCs w:val="16"/>
              </w:rPr>
              <w:t>Fase</w:t>
            </w:r>
          </w:p>
        </w:tc>
        <w:tc>
          <w:tcPr>
            <w:tcW w:w="1952" w:type="dxa"/>
            <w:shd w:val="clear" w:color="auto" w:fill="EBF1DD"/>
            <w:vAlign w:val="center"/>
          </w:tcPr>
          <w:p w:rsidR="00912D99" w:rsidRDefault="00E9611B">
            <w:pPr>
              <w:jc w:val="center"/>
              <w:rPr>
                <w:b/>
                <w:bCs/>
                <w:sz w:val="16"/>
                <w:szCs w:val="16"/>
              </w:rPr>
            </w:pPr>
            <w:r>
              <w:rPr>
                <w:b/>
                <w:bCs/>
                <w:sz w:val="16"/>
                <w:szCs w:val="16"/>
              </w:rPr>
              <w:t>Actividades Clave</w:t>
            </w:r>
          </w:p>
        </w:tc>
        <w:tc>
          <w:tcPr>
            <w:tcW w:w="2039" w:type="dxa"/>
            <w:shd w:val="clear" w:color="auto" w:fill="EBF1DD"/>
            <w:vAlign w:val="center"/>
          </w:tcPr>
          <w:p w:rsidR="00912D99" w:rsidRDefault="00E9611B">
            <w:pPr>
              <w:jc w:val="center"/>
              <w:rPr>
                <w:b/>
                <w:bCs/>
                <w:sz w:val="16"/>
                <w:szCs w:val="16"/>
              </w:rPr>
            </w:pPr>
            <w:r>
              <w:rPr>
                <w:b/>
                <w:bCs/>
                <w:sz w:val="16"/>
                <w:szCs w:val="16"/>
              </w:rPr>
              <w:t>Meta / Producto</w:t>
            </w:r>
          </w:p>
        </w:tc>
        <w:tc>
          <w:tcPr>
            <w:tcW w:w="1533" w:type="dxa"/>
            <w:shd w:val="clear" w:color="auto" w:fill="EBF1DD"/>
            <w:vAlign w:val="center"/>
          </w:tcPr>
          <w:p w:rsidR="00912D99" w:rsidRDefault="00E9611B">
            <w:pPr>
              <w:jc w:val="center"/>
              <w:rPr>
                <w:b/>
                <w:bCs/>
                <w:sz w:val="16"/>
                <w:szCs w:val="16"/>
              </w:rPr>
            </w:pPr>
            <w:r>
              <w:rPr>
                <w:b/>
                <w:bCs/>
                <w:sz w:val="16"/>
                <w:szCs w:val="16"/>
              </w:rPr>
              <w:t>Evidencia Principal</w:t>
            </w:r>
          </w:p>
        </w:tc>
        <w:tc>
          <w:tcPr>
            <w:tcW w:w="1211" w:type="dxa"/>
            <w:shd w:val="clear" w:color="auto" w:fill="EBF1DD"/>
            <w:vAlign w:val="center"/>
          </w:tcPr>
          <w:p w:rsidR="00912D99" w:rsidRDefault="00E9611B">
            <w:pPr>
              <w:jc w:val="center"/>
              <w:rPr>
                <w:b/>
                <w:bCs/>
                <w:sz w:val="16"/>
                <w:szCs w:val="16"/>
              </w:rPr>
            </w:pPr>
            <w:r>
              <w:rPr>
                <w:b/>
                <w:bCs/>
                <w:sz w:val="16"/>
                <w:szCs w:val="16"/>
              </w:rPr>
              <w:t>Responsable</w:t>
            </w:r>
          </w:p>
        </w:tc>
        <w:tc>
          <w:tcPr>
            <w:tcW w:w="746" w:type="dxa"/>
            <w:shd w:val="clear" w:color="auto" w:fill="EBF1DD"/>
            <w:vAlign w:val="center"/>
          </w:tcPr>
          <w:p w:rsidR="00912D99" w:rsidRDefault="00E9611B">
            <w:pPr>
              <w:jc w:val="center"/>
              <w:rPr>
                <w:b/>
                <w:bCs/>
                <w:sz w:val="16"/>
                <w:szCs w:val="16"/>
              </w:rPr>
            </w:pPr>
            <w:r>
              <w:rPr>
                <w:b/>
                <w:bCs/>
                <w:sz w:val="16"/>
                <w:szCs w:val="16"/>
              </w:rPr>
              <w:t>Periodo</w:t>
            </w:r>
          </w:p>
        </w:tc>
      </w:tr>
      <w:tr w:rsidR="00912D99">
        <w:tc>
          <w:tcPr>
            <w:tcW w:w="1538" w:type="dxa"/>
            <w:vAlign w:val="center"/>
          </w:tcPr>
          <w:p w:rsidR="00912D99" w:rsidRDefault="00E9611B">
            <w:pPr>
              <w:rPr>
                <w:sz w:val="16"/>
                <w:szCs w:val="16"/>
              </w:rPr>
            </w:pPr>
            <w:r>
              <w:rPr>
                <w:b/>
                <w:bCs/>
                <w:sz w:val="16"/>
                <w:szCs w:val="16"/>
              </w:rPr>
              <w:t>Fase 1: Apropiación de lineamientos</w:t>
            </w:r>
          </w:p>
        </w:tc>
        <w:tc>
          <w:tcPr>
            <w:tcW w:w="1952" w:type="dxa"/>
            <w:vAlign w:val="center"/>
          </w:tcPr>
          <w:p w:rsidR="00912D99" w:rsidRDefault="00E9611B">
            <w:pPr>
              <w:rPr>
                <w:sz w:val="16"/>
                <w:szCs w:val="16"/>
              </w:rPr>
            </w:pPr>
            <w:r>
              <w:rPr>
                <w:sz w:val="16"/>
                <w:szCs w:val="16"/>
              </w:rPr>
              <w:t>Capacitación, divulgación y sensibilización sobre la Política de Austeridad y buenas prácticas</w:t>
            </w:r>
          </w:p>
        </w:tc>
        <w:tc>
          <w:tcPr>
            <w:tcW w:w="2039" w:type="dxa"/>
            <w:vAlign w:val="center"/>
          </w:tcPr>
          <w:p w:rsidR="00912D99" w:rsidRDefault="00E9611B">
            <w:pPr>
              <w:rPr>
                <w:sz w:val="16"/>
                <w:szCs w:val="16"/>
              </w:rPr>
            </w:pPr>
            <w:r>
              <w:rPr>
                <w:sz w:val="16"/>
                <w:szCs w:val="16"/>
              </w:rPr>
              <w:t>Lineamientos conocidos y apropiados; fortalecimiento de la cultura de autocontrol y corresponsabilidad</w:t>
            </w:r>
          </w:p>
        </w:tc>
        <w:tc>
          <w:tcPr>
            <w:tcW w:w="1533" w:type="dxa"/>
            <w:vAlign w:val="center"/>
          </w:tcPr>
          <w:p w:rsidR="00912D99" w:rsidRDefault="00E9611B">
            <w:pPr>
              <w:rPr>
                <w:sz w:val="16"/>
                <w:szCs w:val="16"/>
              </w:rPr>
            </w:pPr>
            <w:r>
              <w:rPr>
                <w:sz w:val="16"/>
                <w:szCs w:val="16"/>
              </w:rPr>
              <w:t>Listas de asistencia, material divulgado, encuestas, infor</w:t>
            </w:r>
            <w:r>
              <w:rPr>
                <w:sz w:val="16"/>
                <w:szCs w:val="16"/>
              </w:rPr>
              <w:t>mes de socialización</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Ene – Jun 2026</w:t>
            </w:r>
          </w:p>
        </w:tc>
      </w:tr>
      <w:tr w:rsidR="00912D99">
        <w:tc>
          <w:tcPr>
            <w:tcW w:w="1538" w:type="dxa"/>
            <w:vAlign w:val="center"/>
          </w:tcPr>
          <w:p w:rsidR="00912D99" w:rsidRDefault="00912D99">
            <w:pPr>
              <w:rPr>
                <w:sz w:val="16"/>
                <w:szCs w:val="16"/>
              </w:rPr>
            </w:pPr>
          </w:p>
        </w:tc>
        <w:tc>
          <w:tcPr>
            <w:tcW w:w="1952" w:type="dxa"/>
            <w:vAlign w:val="center"/>
          </w:tcPr>
          <w:p w:rsidR="00912D99" w:rsidRDefault="00E9611B">
            <w:pPr>
              <w:rPr>
                <w:sz w:val="16"/>
                <w:szCs w:val="16"/>
              </w:rPr>
            </w:pPr>
            <w:r>
              <w:rPr>
                <w:sz w:val="16"/>
                <w:szCs w:val="16"/>
              </w:rPr>
              <w:t xml:space="preserve">Promoción del uso racional de servicios públicos, </w:t>
            </w:r>
            <w:proofErr w:type="spellStart"/>
            <w:r>
              <w:rPr>
                <w:sz w:val="16"/>
                <w:szCs w:val="16"/>
              </w:rPr>
              <w:t>TICs</w:t>
            </w:r>
            <w:proofErr w:type="spellEnd"/>
            <w:r>
              <w:rPr>
                <w:sz w:val="16"/>
                <w:szCs w:val="16"/>
              </w:rPr>
              <w:t xml:space="preserve"> y bienes institucionales</w:t>
            </w:r>
          </w:p>
        </w:tc>
        <w:tc>
          <w:tcPr>
            <w:tcW w:w="2039" w:type="dxa"/>
            <w:vAlign w:val="center"/>
          </w:tcPr>
          <w:p w:rsidR="00912D99" w:rsidRDefault="00E9611B">
            <w:pPr>
              <w:rPr>
                <w:sz w:val="16"/>
                <w:szCs w:val="16"/>
              </w:rPr>
            </w:pPr>
            <w:r>
              <w:rPr>
                <w:sz w:val="16"/>
                <w:szCs w:val="16"/>
              </w:rPr>
              <w:t>Reducción de consumos y uso eficiente de recursos</w:t>
            </w:r>
          </w:p>
        </w:tc>
        <w:tc>
          <w:tcPr>
            <w:tcW w:w="1533" w:type="dxa"/>
            <w:vAlign w:val="center"/>
          </w:tcPr>
          <w:p w:rsidR="00912D99" w:rsidRDefault="00E9611B">
            <w:pPr>
              <w:rPr>
                <w:sz w:val="16"/>
                <w:szCs w:val="16"/>
              </w:rPr>
            </w:pPr>
            <w:r>
              <w:rPr>
                <w:sz w:val="16"/>
                <w:szCs w:val="16"/>
              </w:rPr>
              <w:t>Informes de consumo, reportes de uso</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Ene – Jun 2026</w:t>
            </w:r>
          </w:p>
        </w:tc>
      </w:tr>
      <w:tr w:rsidR="00912D99">
        <w:tc>
          <w:tcPr>
            <w:tcW w:w="1538" w:type="dxa"/>
            <w:vAlign w:val="center"/>
          </w:tcPr>
          <w:p w:rsidR="00912D99" w:rsidRDefault="00912D99">
            <w:pPr>
              <w:rPr>
                <w:sz w:val="16"/>
                <w:szCs w:val="16"/>
              </w:rPr>
            </w:pPr>
          </w:p>
        </w:tc>
        <w:tc>
          <w:tcPr>
            <w:tcW w:w="1952" w:type="dxa"/>
            <w:vAlign w:val="center"/>
          </w:tcPr>
          <w:p w:rsidR="00912D99" w:rsidRDefault="00E9611B">
            <w:pPr>
              <w:rPr>
                <w:sz w:val="16"/>
                <w:szCs w:val="16"/>
              </w:rPr>
            </w:pPr>
            <w:r>
              <w:rPr>
                <w:sz w:val="16"/>
                <w:szCs w:val="16"/>
              </w:rPr>
              <w:t>Fortalecimiento de la Política de Cero Papel</w:t>
            </w:r>
          </w:p>
        </w:tc>
        <w:tc>
          <w:tcPr>
            <w:tcW w:w="2039" w:type="dxa"/>
            <w:vAlign w:val="center"/>
          </w:tcPr>
          <w:p w:rsidR="00912D99" w:rsidRDefault="00E9611B">
            <w:pPr>
              <w:rPr>
                <w:sz w:val="16"/>
                <w:szCs w:val="16"/>
              </w:rPr>
            </w:pPr>
            <w:r>
              <w:rPr>
                <w:sz w:val="16"/>
                <w:szCs w:val="16"/>
              </w:rPr>
              <w:t>Digitalización y disminución de impresiones</w:t>
            </w:r>
          </w:p>
        </w:tc>
        <w:tc>
          <w:tcPr>
            <w:tcW w:w="1533" w:type="dxa"/>
            <w:vAlign w:val="center"/>
          </w:tcPr>
          <w:p w:rsidR="00912D99" w:rsidRDefault="00E9611B">
            <w:pPr>
              <w:rPr>
                <w:sz w:val="16"/>
                <w:szCs w:val="16"/>
              </w:rPr>
            </w:pPr>
            <w:r>
              <w:rPr>
                <w:sz w:val="16"/>
                <w:szCs w:val="16"/>
              </w:rPr>
              <w:t>Reportes de digitalización y estadísticas de impresión</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Ene – Dic 2026</w:t>
            </w:r>
          </w:p>
        </w:tc>
      </w:tr>
      <w:tr w:rsidR="00912D99">
        <w:tc>
          <w:tcPr>
            <w:tcW w:w="1538" w:type="dxa"/>
            <w:vAlign w:val="center"/>
          </w:tcPr>
          <w:p w:rsidR="00912D99" w:rsidRDefault="00E9611B">
            <w:pPr>
              <w:rPr>
                <w:sz w:val="16"/>
                <w:szCs w:val="16"/>
              </w:rPr>
            </w:pPr>
            <w:r>
              <w:rPr>
                <w:b/>
                <w:bCs/>
                <w:sz w:val="16"/>
                <w:szCs w:val="16"/>
              </w:rPr>
              <w:t>Fase 2: Impleme</w:t>
            </w:r>
            <w:r>
              <w:rPr>
                <w:b/>
                <w:bCs/>
                <w:sz w:val="16"/>
                <w:szCs w:val="16"/>
              </w:rPr>
              <w:t>ntación y control</w:t>
            </w:r>
          </w:p>
        </w:tc>
        <w:tc>
          <w:tcPr>
            <w:tcW w:w="1952" w:type="dxa"/>
            <w:vAlign w:val="center"/>
          </w:tcPr>
          <w:p w:rsidR="00912D99" w:rsidRDefault="00E9611B">
            <w:pPr>
              <w:rPr>
                <w:sz w:val="16"/>
                <w:szCs w:val="16"/>
              </w:rPr>
            </w:pPr>
            <w:r>
              <w:rPr>
                <w:sz w:val="16"/>
                <w:szCs w:val="16"/>
              </w:rPr>
              <w:t>Implementación de medidas de austeridad en procesos administrativos y operativos</w:t>
            </w:r>
          </w:p>
        </w:tc>
        <w:tc>
          <w:tcPr>
            <w:tcW w:w="2039" w:type="dxa"/>
            <w:vAlign w:val="center"/>
          </w:tcPr>
          <w:p w:rsidR="00912D99" w:rsidRDefault="00E9611B">
            <w:pPr>
              <w:rPr>
                <w:sz w:val="16"/>
                <w:szCs w:val="16"/>
              </w:rPr>
            </w:pPr>
            <w:r>
              <w:rPr>
                <w:sz w:val="16"/>
                <w:szCs w:val="16"/>
              </w:rPr>
              <w:t>Aplicación efectiva de la Política de Austeridad</w:t>
            </w:r>
          </w:p>
        </w:tc>
        <w:tc>
          <w:tcPr>
            <w:tcW w:w="1533" w:type="dxa"/>
            <w:vAlign w:val="center"/>
          </w:tcPr>
          <w:p w:rsidR="00912D99" w:rsidRDefault="00E9611B">
            <w:pPr>
              <w:rPr>
                <w:sz w:val="16"/>
                <w:szCs w:val="16"/>
              </w:rPr>
            </w:pPr>
            <w:r>
              <w:rPr>
                <w:sz w:val="16"/>
                <w:szCs w:val="16"/>
              </w:rPr>
              <w:t>Informes de gestión y auditorías internas</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Abr – Dic 2026</w:t>
            </w:r>
          </w:p>
        </w:tc>
      </w:tr>
      <w:tr w:rsidR="00912D99">
        <w:tc>
          <w:tcPr>
            <w:tcW w:w="1538" w:type="dxa"/>
            <w:vAlign w:val="center"/>
          </w:tcPr>
          <w:p w:rsidR="00912D99" w:rsidRDefault="00912D99">
            <w:pPr>
              <w:rPr>
                <w:sz w:val="16"/>
                <w:szCs w:val="16"/>
              </w:rPr>
            </w:pPr>
          </w:p>
        </w:tc>
        <w:tc>
          <w:tcPr>
            <w:tcW w:w="1952" w:type="dxa"/>
            <w:vAlign w:val="center"/>
          </w:tcPr>
          <w:p w:rsidR="00912D99" w:rsidRDefault="00E9611B">
            <w:pPr>
              <w:rPr>
                <w:sz w:val="16"/>
                <w:szCs w:val="16"/>
              </w:rPr>
            </w:pPr>
            <w:r>
              <w:rPr>
                <w:sz w:val="16"/>
                <w:szCs w:val="16"/>
              </w:rPr>
              <w:t>Control y seguimiento al gasto institucional (servicios públicos, horas extras, viáticos y transporte)</w:t>
            </w:r>
          </w:p>
        </w:tc>
        <w:tc>
          <w:tcPr>
            <w:tcW w:w="2039" w:type="dxa"/>
            <w:vAlign w:val="center"/>
          </w:tcPr>
          <w:p w:rsidR="00912D99" w:rsidRDefault="00E9611B">
            <w:pPr>
              <w:rPr>
                <w:sz w:val="16"/>
                <w:szCs w:val="16"/>
              </w:rPr>
            </w:pPr>
            <w:r>
              <w:rPr>
                <w:sz w:val="16"/>
                <w:szCs w:val="16"/>
              </w:rPr>
              <w:t>Optimización y racionalización del gasto</w:t>
            </w:r>
          </w:p>
        </w:tc>
        <w:tc>
          <w:tcPr>
            <w:tcW w:w="1533" w:type="dxa"/>
            <w:vAlign w:val="center"/>
          </w:tcPr>
          <w:p w:rsidR="00912D99" w:rsidRDefault="00E9611B">
            <w:pPr>
              <w:rPr>
                <w:sz w:val="16"/>
                <w:szCs w:val="16"/>
              </w:rPr>
            </w:pPr>
            <w:r>
              <w:rPr>
                <w:sz w:val="16"/>
                <w:szCs w:val="16"/>
              </w:rPr>
              <w:t>Reportes de gasto y actas de revisión</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Abr – Dic 2026</w:t>
            </w:r>
          </w:p>
        </w:tc>
      </w:tr>
      <w:tr w:rsidR="00912D99">
        <w:tc>
          <w:tcPr>
            <w:tcW w:w="1538" w:type="dxa"/>
            <w:vAlign w:val="center"/>
          </w:tcPr>
          <w:p w:rsidR="00912D99" w:rsidRDefault="00912D99">
            <w:pPr>
              <w:rPr>
                <w:sz w:val="16"/>
                <w:szCs w:val="16"/>
              </w:rPr>
            </w:pPr>
          </w:p>
        </w:tc>
        <w:tc>
          <w:tcPr>
            <w:tcW w:w="1952" w:type="dxa"/>
            <w:vAlign w:val="center"/>
          </w:tcPr>
          <w:p w:rsidR="00912D99" w:rsidRDefault="00E9611B">
            <w:pPr>
              <w:rPr>
                <w:sz w:val="16"/>
                <w:szCs w:val="16"/>
              </w:rPr>
            </w:pPr>
            <w:r>
              <w:rPr>
                <w:sz w:val="16"/>
                <w:szCs w:val="16"/>
              </w:rPr>
              <w:t>Monitoreo de horas extras</w:t>
            </w:r>
            <w:r>
              <w:rPr>
                <w:sz w:val="16"/>
                <w:szCs w:val="16"/>
              </w:rPr>
              <w:t xml:space="preserve"> y supervisión de bienes y recursos</w:t>
            </w:r>
          </w:p>
        </w:tc>
        <w:tc>
          <w:tcPr>
            <w:tcW w:w="2039" w:type="dxa"/>
            <w:vAlign w:val="center"/>
          </w:tcPr>
          <w:p w:rsidR="00912D99" w:rsidRDefault="00E9611B">
            <w:pPr>
              <w:rPr>
                <w:sz w:val="16"/>
                <w:szCs w:val="16"/>
              </w:rPr>
            </w:pPr>
            <w:r>
              <w:rPr>
                <w:sz w:val="16"/>
                <w:szCs w:val="16"/>
              </w:rPr>
              <w:t>Uso adecuado y autorizado de recursos</w:t>
            </w:r>
          </w:p>
        </w:tc>
        <w:tc>
          <w:tcPr>
            <w:tcW w:w="1533" w:type="dxa"/>
            <w:vAlign w:val="center"/>
          </w:tcPr>
          <w:p w:rsidR="00912D99" w:rsidRDefault="00E9611B">
            <w:pPr>
              <w:rPr>
                <w:sz w:val="16"/>
                <w:szCs w:val="16"/>
              </w:rPr>
            </w:pPr>
            <w:r>
              <w:rPr>
                <w:sz w:val="16"/>
                <w:szCs w:val="16"/>
              </w:rPr>
              <w:t>Registros de autorización, inventarios</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Abr – Dic 2026</w:t>
            </w:r>
          </w:p>
        </w:tc>
      </w:tr>
      <w:tr w:rsidR="00912D99">
        <w:tc>
          <w:tcPr>
            <w:tcW w:w="1538" w:type="dxa"/>
            <w:vAlign w:val="center"/>
          </w:tcPr>
          <w:p w:rsidR="00912D99" w:rsidRDefault="00E9611B">
            <w:pPr>
              <w:rPr>
                <w:sz w:val="16"/>
                <w:szCs w:val="16"/>
              </w:rPr>
            </w:pPr>
            <w:r>
              <w:rPr>
                <w:b/>
                <w:bCs/>
                <w:sz w:val="16"/>
                <w:szCs w:val="16"/>
              </w:rPr>
              <w:t>Fase 3: Socialización de reportes e informes</w:t>
            </w:r>
          </w:p>
        </w:tc>
        <w:tc>
          <w:tcPr>
            <w:tcW w:w="1952" w:type="dxa"/>
            <w:vAlign w:val="center"/>
          </w:tcPr>
          <w:p w:rsidR="00912D99" w:rsidRDefault="00E9611B">
            <w:pPr>
              <w:rPr>
                <w:sz w:val="16"/>
                <w:szCs w:val="16"/>
              </w:rPr>
            </w:pPr>
            <w:r>
              <w:rPr>
                <w:sz w:val="16"/>
                <w:szCs w:val="16"/>
              </w:rPr>
              <w:t>Socialización de lineamientos de reporte y consoli</w:t>
            </w:r>
            <w:r>
              <w:rPr>
                <w:sz w:val="16"/>
                <w:szCs w:val="16"/>
              </w:rPr>
              <w:t>dación de información</w:t>
            </w:r>
          </w:p>
        </w:tc>
        <w:tc>
          <w:tcPr>
            <w:tcW w:w="2039" w:type="dxa"/>
            <w:vAlign w:val="center"/>
          </w:tcPr>
          <w:p w:rsidR="00912D99" w:rsidRDefault="00E9611B">
            <w:pPr>
              <w:rPr>
                <w:sz w:val="16"/>
                <w:szCs w:val="16"/>
              </w:rPr>
            </w:pPr>
            <w:r>
              <w:rPr>
                <w:sz w:val="16"/>
                <w:szCs w:val="16"/>
              </w:rPr>
              <w:t>Información oportuna, consistente y de calidad</w:t>
            </w:r>
          </w:p>
        </w:tc>
        <w:tc>
          <w:tcPr>
            <w:tcW w:w="1533" w:type="dxa"/>
            <w:vAlign w:val="center"/>
          </w:tcPr>
          <w:p w:rsidR="00912D99" w:rsidRDefault="00E9611B">
            <w:pPr>
              <w:rPr>
                <w:sz w:val="16"/>
                <w:szCs w:val="16"/>
              </w:rPr>
            </w:pPr>
            <w:r>
              <w:rPr>
                <w:sz w:val="16"/>
                <w:szCs w:val="16"/>
              </w:rPr>
              <w:t>Informes consolidados, actas, correos</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Jul – Oct 2026</w:t>
            </w:r>
          </w:p>
        </w:tc>
      </w:tr>
      <w:tr w:rsidR="00912D99">
        <w:tc>
          <w:tcPr>
            <w:tcW w:w="1538" w:type="dxa"/>
            <w:vAlign w:val="center"/>
          </w:tcPr>
          <w:p w:rsidR="00912D99" w:rsidRDefault="00912D99">
            <w:pPr>
              <w:rPr>
                <w:sz w:val="16"/>
                <w:szCs w:val="16"/>
              </w:rPr>
            </w:pPr>
          </w:p>
        </w:tc>
        <w:tc>
          <w:tcPr>
            <w:tcW w:w="1952" w:type="dxa"/>
            <w:vAlign w:val="center"/>
          </w:tcPr>
          <w:p w:rsidR="00912D99" w:rsidRDefault="00E9611B">
            <w:pPr>
              <w:rPr>
                <w:sz w:val="16"/>
                <w:szCs w:val="16"/>
              </w:rPr>
            </w:pPr>
            <w:r>
              <w:rPr>
                <w:sz w:val="16"/>
                <w:szCs w:val="16"/>
              </w:rPr>
              <w:t>Divulgación de avances y publicación de informes en web institucional</w:t>
            </w:r>
          </w:p>
        </w:tc>
        <w:tc>
          <w:tcPr>
            <w:tcW w:w="2039" w:type="dxa"/>
            <w:vAlign w:val="center"/>
          </w:tcPr>
          <w:p w:rsidR="00912D99" w:rsidRDefault="00E9611B">
            <w:pPr>
              <w:rPr>
                <w:sz w:val="16"/>
                <w:szCs w:val="16"/>
              </w:rPr>
            </w:pPr>
            <w:r>
              <w:rPr>
                <w:sz w:val="16"/>
                <w:szCs w:val="16"/>
              </w:rPr>
              <w:t>Transparencia y rendición de cuentas</w:t>
            </w:r>
          </w:p>
        </w:tc>
        <w:tc>
          <w:tcPr>
            <w:tcW w:w="1533" w:type="dxa"/>
            <w:vAlign w:val="center"/>
          </w:tcPr>
          <w:p w:rsidR="00912D99" w:rsidRDefault="00E9611B">
            <w:pPr>
              <w:rPr>
                <w:sz w:val="16"/>
                <w:szCs w:val="16"/>
              </w:rPr>
            </w:pPr>
            <w:r>
              <w:rPr>
                <w:sz w:val="16"/>
                <w:szCs w:val="16"/>
              </w:rPr>
              <w:t>Publicaciones internas, web actualizada</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Abril – Dic 2026</w:t>
            </w:r>
          </w:p>
        </w:tc>
      </w:tr>
      <w:tr w:rsidR="00912D99">
        <w:tc>
          <w:tcPr>
            <w:tcW w:w="1538" w:type="dxa"/>
            <w:vAlign w:val="center"/>
          </w:tcPr>
          <w:p w:rsidR="00912D99" w:rsidRDefault="00E9611B">
            <w:pPr>
              <w:rPr>
                <w:sz w:val="16"/>
                <w:szCs w:val="16"/>
              </w:rPr>
            </w:pPr>
            <w:r>
              <w:rPr>
                <w:b/>
                <w:bCs/>
                <w:sz w:val="16"/>
                <w:szCs w:val="16"/>
              </w:rPr>
              <w:t>Fase 4: Monitoreo y evaluación</w:t>
            </w:r>
          </w:p>
        </w:tc>
        <w:tc>
          <w:tcPr>
            <w:tcW w:w="1952" w:type="dxa"/>
            <w:vAlign w:val="center"/>
          </w:tcPr>
          <w:p w:rsidR="00912D99" w:rsidRDefault="00E9611B">
            <w:pPr>
              <w:rPr>
                <w:sz w:val="16"/>
                <w:szCs w:val="16"/>
              </w:rPr>
            </w:pPr>
            <w:r>
              <w:rPr>
                <w:sz w:val="16"/>
                <w:szCs w:val="16"/>
              </w:rPr>
              <w:t>Consolidación y envío de información a Secretaría de Hacienda y Hábitat</w:t>
            </w:r>
          </w:p>
        </w:tc>
        <w:tc>
          <w:tcPr>
            <w:tcW w:w="2039" w:type="dxa"/>
            <w:vAlign w:val="center"/>
          </w:tcPr>
          <w:p w:rsidR="00912D99" w:rsidRDefault="00E9611B">
            <w:pPr>
              <w:rPr>
                <w:sz w:val="16"/>
                <w:szCs w:val="16"/>
              </w:rPr>
            </w:pPr>
            <w:r>
              <w:rPr>
                <w:sz w:val="16"/>
                <w:szCs w:val="16"/>
              </w:rPr>
              <w:t>Cumplimiento de requerimie</w:t>
            </w:r>
            <w:r>
              <w:rPr>
                <w:sz w:val="16"/>
                <w:szCs w:val="16"/>
              </w:rPr>
              <w:t>ntos normativos</w:t>
            </w:r>
          </w:p>
        </w:tc>
        <w:tc>
          <w:tcPr>
            <w:tcW w:w="1533" w:type="dxa"/>
            <w:vAlign w:val="center"/>
          </w:tcPr>
          <w:p w:rsidR="00912D99" w:rsidRDefault="00E9611B">
            <w:pPr>
              <w:rPr>
                <w:sz w:val="16"/>
                <w:szCs w:val="16"/>
              </w:rPr>
            </w:pPr>
            <w:r>
              <w:rPr>
                <w:sz w:val="16"/>
                <w:szCs w:val="16"/>
              </w:rPr>
              <w:t>Informes remitidos, actas de entrega</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Feb – Dic 2026</w:t>
            </w:r>
          </w:p>
        </w:tc>
      </w:tr>
      <w:tr w:rsidR="00912D99">
        <w:tc>
          <w:tcPr>
            <w:tcW w:w="1538" w:type="dxa"/>
            <w:vAlign w:val="center"/>
          </w:tcPr>
          <w:p w:rsidR="00912D99" w:rsidRDefault="00912D99">
            <w:pPr>
              <w:rPr>
                <w:sz w:val="16"/>
                <w:szCs w:val="16"/>
              </w:rPr>
            </w:pPr>
          </w:p>
        </w:tc>
        <w:tc>
          <w:tcPr>
            <w:tcW w:w="1952" w:type="dxa"/>
            <w:vAlign w:val="center"/>
          </w:tcPr>
          <w:p w:rsidR="00912D99" w:rsidRDefault="00E9611B">
            <w:pPr>
              <w:rPr>
                <w:sz w:val="16"/>
                <w:szCs w:val="16"/>
              </w:rPr>
            </w:pPr>
            <w:r>
              <w:rPr>
                <w:sz w:val="16"/>
                <w:szCs w:val="16"/>
              </w:rPr>
              <w:t>Seguimiento, evaluación de resultados y atención a Control Interno</w:t>
            </w:r>
          </w:p>
        </w:tc>
        <w:tc>
          <w:tcPr>
            <w:tcW w:w="2039" w:type="dxa"/>
            <w:vAlign w:val="center"/>
          </w:tcPr>
          <w:p w:rsidR="00912D99" w:rsidRDefault="00E9611B">
            <w:pPr>
              <w:rPr>
                <w:sz w:val="16"/>
                <w:szCs w:val="16"/>
              </w:rPr>
            </w:pPr>
            <w:r>
              <w:rPr>
                <w:sz w:val="16"/>
                <w:szCs w:val="16"/>
              </w:rPr>
              <w:t>Identificación de logros y oportunidades de mejora</w:t>
            </w:r>
          </w:p>
        </w:tc>
        <w:tc>
          <w:tcPr>
            <w:tcW w:w="1533" w:type="dxa"/>
            <w:vAlign w:val="center"/>
          </w:tcPr>
          <w:p w:rsidR="00912D99" w:rsidRDefault="00E9611B">
            <w:pPr>
              <w:rPr>
                <w:sz w:val="16"/>
                <w:szCs w:val="16"/>
              </w:rPr>
            </w:pPr>
            <w:r>
              <w:rPr>
                <w:sz w:val="16"/>
                <w:szCs w:val="16"/>
              </w:rPr>
              <w:t>Informes de seguimiento, indicadores</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Abril – Dic 2026</w:t>
            </w:r>
          </w:p>
        </w:tc>
      </w:tr>
      <w:tr w:rsidR="00912D99">
        <w:tc>
          <w:tcPr>
            <w:tcW w:w="1538" w:type="dxa"/>
            <w:vAlign w:val="center"/>
          </w:tcPr>
          <w:p w:rsidR="00912D99" w:rsidRDefault="00912D99">
            <w:pPr>
              <w:rPr>
                <w:sz w:val="16"/>
                <w:szCs w:val="16"/>
              </w:rPr>
            </w:pPr>
          </w:p>
        </w:tc>
        <w:tc>
          <w:tcPr>
            <w:tcW w:w="1952" w:type="dxa"/>
            <w:vAlign w:val="center"/>
          </w:tcPr>
          <w:p w:rsidR="00912D99" w:rsidRDefault="00E9611B">
            <w:pPr>
              <w:rPr>
                <w:sz w:val="16"/>
                <w:szCs w:val="16"/>
              </w:rPr>
            </w:pPr>
            <w:r>
              <w:rPr>
                <w:sz w:val="16"/>
                <w:szCs w:val="16"/>
              </w:rPr>
              <w:t>Retroalimentación y archivo de evidencias</w:t>
            </w:r>
          </w:p>
        </w:tc>
        <w:tc>
          <w:tcPr>
            <w:tcW w:w="2039" w:type="dxa"/>
            <w:vAlign w:val="center"/>
          </w:tcPr>
          <w:p w:rsidR="00912D99" w:rsidRDefault="00E9611B">
            <w:pPr>
              <w:rPr>
                <w:sz w:val="16"/>
                <w:szCs w:val="16"/>
              </w:rPr>
            </w:pPr>
            <w:r>
              <w:rPr>
                <w:sz w:val="16"/>
                <w:szCs w:val="16"/>
              </w:rPr>
              <w:t>Mejora continua y trazabilidad de la información</w:t>
            </w:r>
          </w:p>
        </w:tc>
        <w:tc>
          <w:tcPr>
            <w:tcW w:w="1533" w:type="dxa"/>
            <w:vAlign w:val="center"/>
          </w:tcPr>
          <w:p w:rsidR="00912D99" w:rsidRDefault="00E9611B">
            <w:pPr>
              <w:rPr>
                <w:sz w:val="16"/>
                <w:szCs w:val="16"/>
              </w:rPr>
            </w:pPr>
            <w:r>
              <w:rPr>
                <w:sz w:val="16"/>
                <w:szCs w:val="16"/>
              </w:rPr>
              <w:t>Actas, archivos físicos y electrónicos</w:t>
            </w:r>
          </w:p>
        </w:tc>
        <w:tc>
          <w:tcPr>
            <w:tcW w:w="1211"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746" w:type="dxa"/>
            <w:vAlign w:val="center"/>
          </w:tcPr>
          <w:p w:rsidR="00912D99" w:rsidRDefault="00E9611B">
            <w:pPr>
              <w:rPr>
                <w:sz w:val="16"/>
                <w:szCs w:val="16"/>
              </w:rPr>
            </w:pPr>
            <w:r>
              <w:rPr>
                <w:sz w:val="16"/>
                <w:szCs w:val="16"/>
              </w:rPr>
              <w:t>Nov – Dic 2026</w:t>
            </w:r>
          </w:p>
        </w:tc>
      </w:tr>
    </w:tbl>
    <w:p w:rsidR="00912D99" w:rsidRDefault="00912D99">
      <w:pPr>
        <w:jc w:val="both"/>
        <w:rPr>
          <w:rFonts w:ascii="IBM Plex Sans" w:eastAsia="IBM Plex Sans" w:hAnsi="IBM Plex Sans" w:cs="IBM Plex Sans"/>
          <w:sz w:val="20"/>
          <w:szCs w:val="20"/>
        </w:rPr>
      </w:pPr>
    </w:p>
    <w:p w:rsidR="00912D99" w:rsidRDefault="00E9611B">
      <w:pPr>
        <w:jc w:val="both"/>
        <w:rPr>
          <w:color w:val="000000"/>
        </w:rPr>
      </w:pPr>
      <w:r>
        <w:rPr>
          <w:rFonts w:ascii="IBM Plex Sans" w:eastAsia="IBM Plex Sans" w:hAnsi="IBM Plex Sans" w:cs="IBM Plex Sans"/>
          <w:sz w:val="20"/>
          <w:szCs w:val="20"/>
        </w:rPr>
        <w:t>Tabla 1.  Actividades por Fases – Plan de Austeridad 2026</w:t>
      </w:r>
    </w:p>
    <w:p w:rsidR="00912D99" w:rsidRDefault="00912D99">
      <w:pPr>
        <w:jc w:val="both"/>
        <w:rPr>
          <w:rFonts w:ascii="IBM Plex Sans" w:eastAsia="IBM Plex Sans" w:hAnsi="IBM Plex Sans" w:cs="IBM Plex Sans"/>
          <w:b/>
          <w:bCs/>
        </w:rPr>
      </w:pPr>
    </w:p>
    <w:p w:rsidR="00912D99" w:rsidRDefault="00E9611B">
      <w:pPr>
        <w:numPr>
          <w:ilvl w:val="0"/>
          <w:numId w:val="3"/>
        </w:numPr>
        <w:pBdr>
          <w:top w:val="nil"/>
          <w:left w:val="nil"/>
          <w:bottom w:val="nil"/>
          <w:right w:val="nil"/>
          <w:between w:val="nil"/>
        </w:pBdr>
        <w:jc w:val="both"/>
        <w:rPr>
          <w:rFonts w:ascii="IBM Plex Sans" w:eastAsia="IBM Plex Sans" w:hAnsi="IBM Plex Sans" w:cs="IBM Plex Sans"/>
          <w:b/>
          <w:bCs/>
          <w:color w:val="000000"/>
        </w:rPr>
      </w:pPr>
      <w:r>
        <w:rPr>
          <w:rFonts w:ascii="IBM Plex Sans" w:eastAsia="IBM Plex Sans" w:hAnsi="IBM Plex Sans" w:cs="IBM Plex Sans"/>
          <w:b/>
          <w:bCs/>
          <w:color w:val="000000"/>
        </w:rPr>
        <w:t>Medición y seguimiento</w:t>
      </w:r>
    </w:p>
    <w:p w:rsidR="00912D99" w:rsidRDefault="00E9611B">
      <w:pPr>
        <w:widowControl w:val="0"/>
        <w:pBdr>
          <w:top w:val="nil"/>
          <w:left w:val="nil"/>
          <w:bottom w:val="nil"/>
          <w:right w:val="nil"/>
          <w:between w:val="nil"/>
        </w:pBdr>
        <w:spacing w:before="306" w:line="240" w:lineRule="auto"/>
        <w:jc w:val="both"/>
      </w:pPr>
      <w:r>
        <w:t>La medición y seguimiento del Plan de Austeridad garantizan la verificación continua de su implementación y el impacto de las acciones ejecutadas, abarcando todas las fases del plan y los recursos institucionales. Mediante indicadores específicos y fuentes</w:t>
      </w:r>
      <w:r>
        <w:t xml:space="preserve"> confiables, se evalúa la participación en capacitaciones, el conocimiento de la política, el uso eficiente de recursos, la adopción de la Política de Cero Papel, el cumplimiento en el uso de bienes, y la calidad de los informes. Este proceso permite ident</w:t>
      </w:r>
      <w:r>
        <w:t>ificar ajustes necesarios, apoyar la toma de decisiones, fortalecer la transparencia y promover la mejora continua para optimizar la eficiencia institucional.</w:t>
      </w:r>
    </w:p>
    <w:p w:rsidR="00912D99" w:rsidRDefault="00912D99">
      <w:pPr>
        <w:ind w:left="360"/>
        <w:jc w:val="both"/>
        <w:rPr>
          <w:rFonts w:ascii="IBM Plex Sans" w:eastAsia="IBM Plex Sans" w:hAnsi="IBM Plex Sans" w:cs="IBM Plex Sans"/>
          <w:sz w:val="20"/>
          <w:szCs w:val="20"/>
        </w:rPr>
      </w:pPr>
    </w:p>
    <w:tbl>
      <w:tblPr>
        <w:tblStyle w:val="ac"/>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3"/>
        <w:gridCol w:w="1014"/>
        <w:gridCol w:w="1165"/>
        <w:gridCol w:w="1483"/>
        <w:gridCol w:w="1787"/>
        <w:gridCol w:w="1307"/>
        <w:gridCol w:w="940"/>
      </w:tblGrid>
      <w:tr w:rsidR="00912D99">
        <w:trPr>
          <w:tblHeader/>
        </w:trPr>
        <w:tc>
          <w:tcPr>
            <w:tcW w:w="1323" w:type="dxa"/>
            <w:shd w:val="clear" w:color="auto" w:fill="EBF1DD"/>
            <w:vAlign w:val="center"/>
          </w:tcPr>
          <w:p w:rsidR="00912D99" w:rsidRDefault="00E9611B">
            <w:pPr>
              <w:jc w:val="center"/>
              <w:rPr>
                <w:b/>
                <w:bCs/>
                <w:sz w:val="16"/>
                <w:szCs w:val="16"/>
              </w:rPr>
            </w:pPr>
            <w:r>
              <w:rPr>
                <w:b/>
                <w:bCs/>
                <w:sz w:val="16"/>
                <w:szCs w:val="16"/>
              </w:rPr>
              <w:t>Componente de Medición</w:t>
            </w:r>
          </w:p>
        </w:tc>
        <w:tc>
          <w:tcPr>
            <w:tcW w:w="1014" w:type="dxa"/>
            <w:shd w:val="clear" w:color="auto" w:fill="EBF1DD"/>
            <w:vAlign w:val="center"/>
          </w:tcPr>
          <w:p w:rsidR="00912D99" w:rsidRDefault="00E9611B">
            <w:pPr>
              <w:jc w:val="center"/>
              <w:rPr>
                <w:b/>
                <w:bCs/>
                <w:sz w:val="16"/>
                <w:szCs w:val="16"/>
              </w:rPr>
            </w:pPr>
            <w:r>
              <w:rPr>
                <w:b/>
                <w:bCs/>
                <w:sz w:val="16"/>
                <w:szCs w:val="16"/>
              </w:rPr>
              <w:t>Fase Asociada</w:t>
            </w:r>
          </w:p>
        </w:tc>
        <w:tc>
          <w:tcPr>
            <w:tcW w:w="1165" w:type="dxa"/>
            <w:shd w:val="clear" w:color="auto" w:fill="EBF1DD"/>
            <w:vAlign w:val="center"/>
          </w:tcPr>
          <w:p w:rsidR="00912D99" w:rsidRDefault="00E9611B">
            <w:pPr>
              <w:jc w:val="center"/>
              <w:rPr>
                <w:b/>
                <w:bCs/>
                <w:sz w:val="16"/>
                <w:szCs w:val="16"/>
              </w:rPr>
            </w:pPr>
            <w:r>
              <w:rPr>
                <w:b/>
                <w:bCs/>
                <w:sz w:val="16"/>
                <w:szCs w:val="16"/>
              </w:rPr>
              <w:t>Descripción</w:t>
            </w:r>
          </w:p>
        </w:tc>
        <w:tc>
          <w:tcPr>
            <w:tcW w:w="1483" w:type="dxa"/>
            <w:shd w:val="clear" w:color="auto" w:fill="EBF1DD"/>
            <w:vAlign w:val="center"/>
          </w:tcPr>
          <w:p w:rsidR="00912D99" w:rsidRDefault="00E9611B">
            <w:pPr>
              <w:jc w:val="center"/>
              <w:rPr>
                <w:b/>
                <w:bCs/>
                <w:sz w:val="16"/>
                <w:szCs w:val="16"/>
              </w:rPr>
            </w:pPr>
            <w:r>
              <w:rPr>
                <w:b/>
                <w:bCs/>
                <w:sz w:val="16"/>
                <w:szCs w:val="16"/>
              </w:rPr>
              <w:t>Indicadores de Seguimiento</w:t>
            </w:r>
          </w:p>
        </w:tc>
        <w:tc>
          <w:tcPr>
            <w:tcW w:w="1787" w:type="dxa"/>
            <w:shd w:val="clear" w:color="auto" w:fill="EBF1DD"/>
            <w:vAlign w:val="center"/>
          </w:tcPr>
          <w:p w:rsidR="00912D99" w:rsidRDefault="00E9611B">
            <w:pPr>
              <w:jc w:val="center"/>
              <w:rPr>
                <w:b/>
                <w:bCs/>
                <w:sz w:val="16"/>
                <w:szCs w:val="16"/>
              </w:rPr>
            </w:pPr>
            <w:r>
              <w:rPr>
                <w:b/>
                <w:bCs/>
                <w:sz w:val="16"/>
                <w:szCs w:val="16"/>
              </w:rPr>
              <w:t>Fuente de Informació</w:t>
            </w:r>
            <w:r>
              <w:rPr>
                <w:b/>
                <w:bCs/>
                <w:sz w:val="16"/>
                <w:szCs w:val="16"/>
              </w:rPr>
              <w:t>n</w:t>
            </w:r>
          </w:p>
        </w:tc>
        <w:tc>
          <w:tcPr>
            <w:tcW w:w="1307" w:type="dxa"/>
            <w:shd w:val="clear" w:color="auto" w:fill="EBF1DD"/>
            <w:vAlign w:val="center"/>
          </w:tcPr>
          <w:p w:rsidR="00912D99" w:rsidRDefault="00E9611B">
            <w:pPr>
              <w:jc w:val="center"/>
              <w:rPr>
                <w:b/>
                <w:bCs/>
                <w:sz w:val="16"/>
                <w:szCs w:val="16"/>
              </w:rPr>
            </w:pPr>
            <w:r>
              <w:rPr>
                <w:b/>
                <w:bCs/>
                <w:sz w:val="16"/>
                <w:szCs w:val="16"/>
              </w:rPr>
              <w:t>Responsable</w:t>
            </w:r>
          </w:p>
        </w:tc>
        <w:tc>
          <w:tcPr>
            <w:tcW w:w="940" w:type="dxa"/>
            <w:shd w:val="clear" w:color="auto" w:fill="EBF1DD"/>
            <w:vAlign w:val="center"/>
          </w:tcPr>
          <w:p w:rsidR="00912D99" w:rsidRDefault="00E9611B">
            <w:pPr>
              <w:jc w:val="center"/>
              <w:rPr>
                <w:b/>
                <w:bCs/>
                <w:sz w:val="16"/>
                <w:szCs w:val="16"/>
              </w:rPr>
            </w:pPr>
            <w:r>
              <w:rPr>
                <w:b/>
                <w:bCs/>
                <w:sz w:val="16"/>
                <w:szCs w:val="16"/>
              </w:rPr>
              <w:t>Frecuencia</w:t>
            </w:r>
          </w:p>
        </w:tc>
      </w:tr>
      <w:tr w:rsidR="00912D99">
        <w:tc>
          <w:tcPr>
            <w:tcW w:w="1323" w:type="dxa"/>
            <w:vAlign w:val="center"/>
          </w:tcPr>
          <w:p w:rsidR="00912D99" w:rsidRDefault="00E9611B">
            <w:pPr>
              <w:rPr>
                <w:sz w:val="16"/>
                <w:szCs w:val="16"/>
              </w:rPr>
            </w:pPr>
            <w:r>
              <w:rPr>
                <w:sz w:val="16"/>
                <w:szCs w:val="16"/>
              </w:rPr>
              <w:t>Cumplimiento de capacitaciones y sensibilización</w:t>
            </w:r>
          </w:p>
        </w:tc>
        <w:tc>
          <w:tcPr>
            <w:tcW w:w="1014" w:type="dxa"/>
            <w:vAlign w:val="center"/>
          </w:tcPr>
          <w:p w:rsidR="00912D99" w:rsidRDefault="00E9611B">
            <w:pPr>
              <w:rPr>
                <w:sz w:val="16"/>
                <w:szCs w:val="16"/>
              </w:rPr>
            </w:pPr>
            <w:r>
              <w:rPr>
                <w:sz w:val="16"/>
                <w:szCs w:val="16"/>
              </w:rPr>
              <w:t>Fase 1: Apropiación de lineamientos</w:t>
            </w:r>
          </w:p>
        </w:tc>
        <w:tc>
          <w:tcPr>
            <w:tcW w:w="1165" w:type="dxa"/>
            <w:vAlign w:val="center"/>
          </w:tcPr>
          <w:p w:rsidR="00912D99" w:rsidRDefault="00E9611B">
            <w:pPr>
              <w:rPr>
                <w:sz w:val="16"/>
                <w:szCs w:val="16"/>
              </w:rPr>
            </w:pPr>
            <w:r>
              <w:rPr>
                <w:sz w:val="16"/>
                <w:szCs w:val="16"/>
              </w:rPr>
              <w:t>Verificar la participación de servidores y contratistas en las actividades de apropiación de la Política de Austeridad</w:t>
            </w:r>
          </w:p>
        </w:tc>
        <w:tc>
          <w:tcPr>
            <w:tcW w:w="1483" w:type="dxa"/>
            <w:vAlign w:val="center"/>
          </w:tcPr>
          <w:p w:rsidR="00912D99" w:rsidRDefault="00E9611B">
            <w:pPr>
              <w:rPr>
                <w:sz w:val="16"/>
                <w:szCs w:val="16"/>
              </w:rPr>
            </w:pPr>
            <w:r>
              <w:rPr>
                <w:sz w:val="16"/>
                <w:szCs w:val="16"/>
              </w:rPr>
              <w:t>% de personal capacitado respecto al total programado</w:t>
            </w:r>
          </w:p>
        </w:tc>
        <w:tc>
          <w:tcPr>
            <w:tcW w:w="1787" w:type="dxa"/>
            <w:vAlign w:val="center"/>
          </w:tcPr>
          <w:p w:rsidR="00912D99" w:rsidRDefault="00E9611B">
            <w:pPr>
              <w:rPr>
                <w:sz w:val="16"/>
                <w:szCs w:val="16"/>
              </w:rPr>
            </w:pPr>
            <w:r>
              <w:rPr>
                <w:sz w:val="16"/>
                <w:szCs w:val="16"/>
              </w:rPr>
              <w:t>Listas de asistencia, reportes de talleres, encuestas de satisfacción</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Trimestral</w:t>
            </w:r>
          </w:p>
        </w:tc>
      </w:tr>
      <w:tr w:rsidR="00912D99">
        <w:tc>
          <w:tcPr>
            <w:tcW w:w="1323" w:type="dxa"/>
            <w:vAlign w:val="center"/>
          </w:tcPr>
          <w:p w:rsidR="00912D99" w:rsidRDefault="00E9611B">
            <w:pPr>
              <w:rPr>
                <w:sz w:val="16"/>
                <w:szCs w:val="16"/>
              </w:rPr>
            </w:pPr>
            <w:r>
              <w:rPr>
                <w:sz w:val="16"/>
                <w:szCs w:val="16"/>
              </w:rPr>
              <w:t>Divulgación de lineamientos y buenas prácticas</w:t>
            </w:r>
          </w:p>
        </w:tc>
        <w:tc>
          <w:tcPr>
            <w:tcW w:w="1014" w:type="dxa"/>
            <w:vAlign w:val="center"/>
          </w:tcPr>
          <w:p w:rsidR="00912D99" w:rsidRDefault="00E9611B">
            <w:pPr>
              <w:rPr>
                <w:sz w:val="16"/>
                <w:szCs w:val="16"/>
              </w:rPr>
            </w:pPr>
            <w:r>
              <w:rPr>
                <w:sz w:val="16"/>
                <w:szCs w:val="16"/>
              </w:rPr>
              <w:t>Fase 1</w:t>
            </w:r>
          </w:p>
        </w:tc>
        <w:tc>
          <w:tcPr>
            <w:tcW w:w="1165" w:type="dxa"/>
            <w:vAlign w:val="center"/>
          </w:tcPr>
          <w:p w:rsidR="00912D99" w:rsidRDefault="00E9611B">
            <w:pPr>
              <w:rPr>
                <w:sz w:val="16"/>
                <w:szCs w:val="16"/>
              </w:rPr>
            </w:pPr>
            <w:r>
              <w:rPr>
                <w:sz w:val="16"/>
                <w:szCs w:val="16"/>
              </w:rPr>
              <w:t>Medir el nivel de conocimiento y apropiación de los lineamientos de austeridad</w:t>
            </w:r>
          </w:p>
        </w:tc>
        <w:tc>
          <w:tcPr>
            <w:tcW w:w="1483" w:type="dxa"/>
            <w:vAlign w:val="center"/>
          </w:tcPr>
          <w:p w:rsidR="00912D99" w:rsidRDefault="00E9611B">
            <w:pPr>
              <w:rPr>
                <w:sz w:val="16"/>
                <w:szCs w:val="16"/>
              </w:rPr>
            </w:pPr>
            <w:proofErr w:type="spellStart"/>
            <w:r>
              <w:rPr>
                <w:sz w:val="16"/>
                <w:szCs w:val="16"/>
              </w:rPr>
              <w:t>Nº</w:t>
            </w:r>
            <w:proofErr w:type="spellEnd"/>
            <w:r>
              <w:rPr>
                <w:sz w:val="16"/>
                <w:szCs w:val="16"/>
              </w:rPr>
              <w:t xml:space="preserve"> de comunicaciones emitidas; % de personal que confirma recepción</w:t>
            </w:r>
          </w:p>
        </w:tc>
        <w:tc>
          <w:tcPr>
            <w:tcW w:w="1787" w:type="dxa"/>
            <w:vAlign w:val="center"/>
          </w:tcPr>
          <w:p w:rsidR="00912D99" w:rsidRDefault="00E9611B">
            <w:pPr>
              <w:rPr>
                <w:sz w:val="16"/>
                <w:szCs w:val="16"/>
              </w:rPr>
            </w:pPr>
            <w:r>
              <w:rPr>
                <w:sz w:val="16"/>
                <w:szCs w:val="16"/>
              </w:rPr>
              <w:t>Correos institucionales, intranet, encuestas</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Trimestral</w:t>
            </w:r>
          </w:p>
        </w:tc>
      </w:tr>
      <w:tr w:rsidR="00912D99">
        <w:tc>
          <w:tcPr>
            <w:tcW w:w="1323" w:type="dxa"/>
            <w:vAlign w:val="center"/>
          </w:tcPr>
          <w:p w:rsidR="00912D99" w:rsidRDefault="00E9611B">
            <w:pPr>
              <w:rPr>
                <w:sz w:val="16"/>
                <w:szCs w:val="16"/>
              </w:rPr>
            </w:pPr>
            <w:r>
              <w:rPr>
                <w:sz w:val="16"/>
                <w:szCs w:val="16"/>
              </w:rPr>
              <w:t>Uso eficiente de rec</w:t>
            </w:r>
            <w:r>
              <w:rPr>
                <w:sz w:val="16"/>
                <w:szCs w:val="16"/>
              </w:rPr>
              <w:t>ursos y servicios</w:t>
            </w:r>
          </w:p>
        </w:tc>
        <w:tc>
          <w:tcPr>
            <w:tcW w:w="1014" w:type="dxa"/>
            <w:vAlign w:val="center"/>
          </w:tcPr>
          <w:p w:rsidR="00912D99" w:rsidRDefault="00E9611B">
            <w:pPr>
              <w:rPr>
                <w:sz w:val="16"/>
                <w:szCs w:val="16"/>
              </w:rPr>
            </w:pPr>
            <w:r>
              <w:rPr>
                <w:sz w:val="16"/>
                <w:szCs w:val="16"/>
              </w:rPr>
              <w:t>Fase 1 y Fase 2</w:t>
            </w:r>
          </w:p>
        </w:tc>
        <w:tc>
          <w:tcPr>
            <w:tcW w:w="1165" w:type="dxa"/>
            <w:vAlign w:val="center"/>
          </w:tcPr>
          <w:p w:rsidR="00912D99" w:rsidRDefault="00E9611B">
            <w:pPr>
              <w:rPr>
                <w:sz w:val="16"/>
                <w:szCs w:val="16"/>
              </w:rPr>
            </w:pPr>
            <w:r>
              <w:rPr>
                <w:sz w:val="16"/>
                <w:szCs w:val="16"/>
              </w:rPr>
              <w:t>Controlar la optimización del consumo de servicios públicos, horas extras, viáticos, transporte y papel</w:t>
            </w:r>
          </w:p>
        </w:tc>
        <w:tc>
          <w:tcPr>
            <w:tcW w:w="1483" w:type="dxa"/>
            <w:vAlign w:val="center"/>
          </w:tcPr>
          <w:p w:rsidR="00912D99" w:rsidRDefault="00E9611B">
            <w:pPr>
              <w:rPr>
                <w:sz w:val="16"/>
                <w:szCs w:val="16"/>
              </w:rPr>
            </w:pPr>
            <w:r>
              <w:rPr>
                <w:sz w:val="16"/>
                <w:szCs w:val="16"/>
              </w:rPr>
              <w:t>% de reducción en consumo de energía, agua y papel; % de horas extras justificadas</w:t>
            </w:r>
          </w:p>
        </w:tc>
        <w:tc>
          <w:tcPr>
            <w:tcW w:w="1787" w:type="dxa"/>
            <w:vAlign w:val="center"/>
          </w:tcPr>
          <w:p w:rsidR="00912D99" w:rsidRDefault="00E9611B">
            <w:pPr>
              <w:rPr>
                <w:sz w:val="16"/>
                <w:szCs w:val="16"/>
              </w:rPr>
            </w:pPr>
            <w:r>
              <w:rPr>
                <w:sz w:val="16"/>
                <w:szCs w:val="16"/>
              </w:rPr>
              <w:t>Reportes de consumo, planillas de g</w:t>
            </w:r>
            <w:r>
              <w:rPr>
                <w:sz w:val="16"/>
                <w:szCs w:val="16"/>
              </w:rPr>
              <w:t>asto, reportes de horas extras</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Mensual / Trimestral</w:t>
            </w:r>
          </w:p>
        </w:tc>
      </w:tr>
      <w:tr w:rsidR="00912D99">
        <w:tc>
          <w:tcPr>
            <w:tcW w:w="1323" w:type="dxa"/>
            <w:vAlign w:val="center"/>
          </w:tcPr>
          <w:p w:rsidR="00912D99" w:rsidRDefault="00E9611B">
            <w:pPr>
              <w:rPr>
                <w:sz w:val="16"/>
                <w:szCs w:val="16"/>
              </w:rPr>
            </w:pPr>
            <w:r>
              <w:rPr>
                <w:sz w:val="16"/>
                <w:szCs w:val="16"/>
              </w:rPr>
              <w:t>Implementación de la Política de Cero Papel</w:t>
            </w:r>
          </w:p>
        </w:tc>
        <w:tc>
          <w:tcPr>
            <w:tcW w:w="1014" w:type="dxa"/>
            <w:vAlign w:val="center"/>
          </w:tcPr>
          <w:p w:rsidR="00912D99" w:rsidRDefault="00E9611B">
            <w:pPr>
              <w:rPr>
                <w:sz w:val="16"/>
                <w:szCs w:val="16"/>
              </w:rPr>
            </w:pPr>
            <w:r>
              <w:rPr>
                <w:sz w:val="16"/>
                <w:szCs w:val="16"/>
              </w:rPr>
              <w:t>Fase 1 y Fase 2</w:t>
            </w:r>
          </w:p>
        </w:tc>
        <w:tc>
          <w:tcPr>
            <w:tcW w:w="1165" w:type="dxa"/>
            <w:vAlign w:val="center"/>
          </w:tcPr>
          <w:p w:rsidR="00912D99" w:rsidRDefault="00E9611B">
            <w:pPr>
              <w:rPr>
                <w:sz w:val="16"/>
                <w:szCs w:val="16"/>
              </w:rPr>
            </w:pPr>
            <w:r>
              <w:rPr>
                <w:sz w:val="16"/>
                <w:szCs w:val="16"/>
              </w:rPr>
              <w:t xml:space="preserve">Verificar la adopción efectiva de la gestión documental </w:t>
            </w:r>
            <w:r>
              <w:rPr>
                <w:sz w:val="16"/>
                <w:szCs w:val="16"/>
              </w:rPr>
              <w:lastRenderedPageBreak/>
              <w:t>electrónica y la reducción de impresiones físicas</w:t>
            </w:r>
          </w:p>
        </w:tc>
        <w:tc>
          <w:tcPr>
            <w:tcW w:w="1483" w:type="dxa"/>
            <w:vAlign w:val="center"/>
          </w:tcPr>
          <w:p w:rsidR="00912D99" w:rsidRDefault="00E9611B">
            <w:pPr>
              <w:rPr>
                <w:sz w:val="16"/>
                <w:szCs w:val="16"/>
              </w:rPr>
            </w:pPr>
            <w:r>
              <w:rPr>
                <w:sz w:val="16"/>
                <w:szCs w:val="16"/>
              </w:rPr>
              <w:lastRenderedPageBreak/>
              <w:t>% de documentos digitalizados; % de trámites gestionados digitalmente</w:t>
            </w:r>
          </w:p>
        </w:tc>
        <w:tc>
          <w:tcPr>
            <w:tcW w:w="1787" w:type="dxa"/>
            <w:vAlign w:val="center"/>
          </w:tcPr>
          <w:p w:rsidR="00912D99" w:rsidRDefault="00E9611B">
            <w:pPr>
              <w:rPr>
                <w:sz w:val="16"/>
                <w:szCs w:val="16"/>
              </w:rPr>
            </w:pPr>
            <w:r>
              <w:rPr>
                <w:sz w:val="16"/>
                <w:szCs w:val="16"/>
              </w:rPr>
              <w:t>Sistemas de gestión documental, reportes de impresión</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Trimestral</w:t>
            </w:r>
          </w:p>
        </w:tc>
      </w:tr>
      <w:tr w:rsidR="00912D99">
        <w:tc>
          <w:tcPr>
            <w:tcW w:w="1323" w:type="dxa"/>
            <w:vAlign w:val="center"/>
          </w:tcPr>
          <w:p w:rsidR="00912D99" w:rsidRDefault="00E9611B">
            <w:pPr>
              <w:rPr>
                <w:sz w:val="16"/>
                <w:szCs w:val="16"/>
              </w:rPr>
            </w:pPr>
            <w:r>
              <w:rPr>
                <w:sz w:val="16"/>
                <w:szCs w:val="16"/>
              </w:rPr>
              <w:t>Cumplimiento en adquisición y uso de bienes institucionales</w:t>
            </w:r>
          </w:p>
        </w:tc>
        <w:tc>
          <w:tcPr>
            <w:tcW w:w="1014" w:type="dxa"/>
            <w:vAlign w:val="center"/>
          </w:tcPr>
          <w:p w:rsidR="00912D99" w:rsidRDefault="00E9611B">
            <w:pPr>
              <w:rPr>
                <w:sz w:val="16"/>
                <w:szCs w:val="16"/>
              </w:rPr>
            </w:pPr>
            <w:r>
              <w:rPr>
                <w:sz w:val="16"/>
                <w:szCs w:val="16"/>
              </w:rPr>
              <w:t>Fase 2</w:t>
            </w:r>
          </w:p>
        </w:tc>
        <w:tc>
          <w:tcPr>
            <w:tcW w:w="1165" w:type="dxa"/>
            <w:vAlign w:val="center"/>
          </w:tcPr>
          <w:p w:rsidR="00912D99" w:rsidRDefault="00E9611B">
            <w:pPr>
              <w:rPr>
                <w:sz w:val="16"/>
                <w:szCs w:val="16"/>
              </w:rPr>
            </w:pPr>
            <w:r>
              <w:rPr>
                <w:sz w:val="16"/>
                <w:szCs w:val="16"/>
              </w:rPr>
              <w:t>Monitorear el uso ade</w:t>
            </w:r>
            <w:r>
              <w:rPr>
                <w:sz w:val="16"/>
                <w:szCs w:val="16"/>
              </w:rPr>
              <w:t>cuado y eficiente de bienes, equipos, mobiliario y vehículos oficiales</w:t>
            </w:r>
          </w:p>
        </w:tc>
        <w:tc>
          <w:tcPr>
            <w:tcW w:w="1483" w:type="dxa"/>
            <w:vAlign w:val="center"/>
          </w:tcPr>
          <w:p w:rsidR="00912D99" w:rsidRDefault="00E9611B">
            <w:pPr>
              <w:rPr>
                <w:sz w:val="16"/>
                <w:szCs w:val="16"/>
              </w:rPr>
            </w:pPr>
            <w:r>
              <w:rPr>
                <w:sz w:val="16"/>
                <w:szCs w:val="16"/>
              </w:rPr>
              <w:t>% de bienes utilizados conforme a políticas; inventarios actualizados</w:t>
            </w:r>
          </w:p>
        </w:tc>
        <w:tc>
          <w:tcPr>
            <w:tcW w:w="1787" w:type="dxa"/>
            <w:vAlign w:val="center"/>
          </w:tcPr>
          <w:p w:rsidR="00912D99" w:rsidRDefault="00E9611B">
            <w:pPr>
              <w:rPr>
                <w:sz w:val="16"/>
                <w:szCs w:val="16"/>
              </w:rPr>
            </w:pPr>
            <w:r>
              <w:rPr>
                <w:sz w:val="16"/>
                <w:szCs w:val="16"/>
              </w:rPr>
              <w:t>Inventarios, reportes de uso</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Semestral</w:t>
            </w:r>
          </w:p>
        </w:tc>
      </w:tr>
      <w:tr w:rsidR="00912D99">
        <w:tc>
          <w:tcPr>
            <w:tcW w:w="1323" w:type="dxa"/>
            <w:vAlign w:val="center"/>
          </w:tcPr>
          <w:p w:rsidR="00912D99" w:rsidRDefault="00E9611B">
            <w:pPr>
              <w:rPr>
                <w:sz w:val="16"/>
                <w:szCs w:val="16"/>
              </w:rPr>
            </w:pPr>
            <w:r>
              <w:rPr>
                <w:sz w:val="16"/>
                <w:szCs w:val="16"/>
              </w:rPr>
              <w:t xml:space="preserve">Elaboración y consolidación de informes de </w:t>
            </w:r>
            <w:r>
              <w:rPr>
                <w:sz w:val="16"/>
                <w:szCs w:val="16"/>
              </w:rPr>
              <w:t>austeridad</w:t>
            </w:r>
          </w:p>
        </w:tc>
        <w:tc>
          <w:tcPr>
            <w:tcW w:w="1014" w:type="dxa"/>
            <w:vAlign w:val="center"/>
          </w:tcPr>
          <w:p w:rsidR="00912D99" w:rsidRDefault="00E9611B">
            <w:pPr>
              <w:rPr>
                <w:sz w:val="16"/>
                <w:szCs w:val="16"/>
              </w:rPr>
            </w:pPr>
            <w:r>
              <w:rPr>
                <w:sz w:val="16"/>
                <w:szCs w:val="16"/>
              </w:rPr>
              <w:t>Fase 3: Socialización de reportes</w:t>
            </w:r>
          </w:p>
        </w:tc>
        <w:tc>
          <w:tcPr>
            <w:tcW w:w="1165" w:type="dxa"/>
            <w:vAlign w:val="center"/>
          </w:tcPr>
          <w:p w:rsidR="00912D99" w:rsidRDefault="00E9611B">
            <w:pPr>
              <w:rPr>
                <w:sz w:val="16"/>
                <w:szCs w:val="16"/>
              </w:rPr>
            </w:pPr>
            <w:r>
              <w:rPr>
                <w:sz w:val="16"/>
                <w:szCs w:val="16"/>
              </w:rPr>
              <w:t>Evaluar la oportunidad, calidad y consistencia de la información consolidada para los reportes de austeridad</w:t>
            </w:r>
          </w:p>
        </w:tc>
        <w:tc>
          <w:tcPr>
            <w:tcW w:w="1483" w:type="dxa"/>
            <w:vAlign w:val="center"/>
          </w:tcPr>
          <w:p w:rsidR="00912D99" w:rsidRDefault="00E9611B">
            <w:pPr>
              <w:rPr>
                <w:sz w:val="16"/>
                <w:szCs w:val="16"/>
              </w:rPr>
            </w:pPr>
            <w:r>
              <w:rPr>
                <w:sz w:val="16"/>
                <w:szCs w:val="16"/>
              </w:rPr>
              <w:t>% de informes entregados en los plazos establecidos; consistencia de la información</w:t>
            </w:r>
          </w:p>
        </w:tc>
        <w:tc>
          <w:tcPr>
            <w:tcW w:w="1787" w:type="dxa"/>
            <w:vAlign w:val="center"/>
          </w:tcPr>
          <w:p w:rsidR="00912D99" w:rsidRDefault="00E9611B">
            <w:pPr>
              <w:rPr>
                <w:sz w:val="16"/>
                <w:szCs w:val="16"/>
              </w:rPr>
            </w:pPr>
            <w:r>
              <w:rPr>
                <w:sz w:val="16"/>
                <w:szCs w:val="16"/>
              </w:rPr>
              <w:t>Informes consolida</w:t>
            </w:r>
            <w:r>
              <w:rPr>
                <w:sz w:val="16"/>
                <w:szCs w:val="16"/>
              </w:rPr>
              <w:t>dos, actas de coordinación</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Trimestral</w:t>
            </w:r>
          </w:p>
        </w:tc>
      </w:tr>
      <w:tr w:rsidR="00912D99">
        <w:tc>
          <w:tcPr>
            <w:tcW w:w="1323" w:type="dxa"/>
            <w:vAlign w:val="center"/>
          </w:tcPr>
          <w:p w:rsidR="00912D99" w:rsidRDefault="00E9611B">
            <w:pPr>
              <w:rPr>
                <w:sz w:val="16"/>
                <w:szCs w:val="16"/>
              </w:rPr>
            </w:pPr>
            <w:r>
              <w:rPr>
                <w:sz w:val="16"/>
                <w:szCs w:val="16"/>
              </w:rPr>
              <w:t>Seguimiento a hallazgos y retroalimentación</w:t>
            </w:r>
          </w:p>
        </w:tc>
        <w:tc>
          <w:tcPr>
            <w:tcW w:w="1014" w:type="dxa"/>
            <w:vAlign w:val="center"/>
          </w:tcPr>
          <w:p w:rsidR="00912D99" w:rsidRDefault="00E9611B">
            <w:pPr>
              <w:rPr>
                <w:sz w:val="16"/>
                <w:szCs w:val="16"/>
              </w:rPr>
            </w:pPr>
            <w:r>
              <w:rPr>
                <w:sz w:val="16"/>
                <w:szCs w:val="16"/>
              </w:rPr>
              <w:t>Fase 4: Monitoreo y evaluación</w:t>
            </w:r>
          </w:p>
        </w:tc>
        <w:tc>
          <w:tcPr>
            <w:tcW w:w="1165" w:type="dxa"/>
            <w:vAlign w:val="center"/>
          </w:tcPr>
          <w:p w:rsidR="00912D99" w:rsidRDefault="00E9611B">
            <w:pPr>
              <w:rPr>
                <w:sz w:val="16"/>
                <w:szCs w:val="16"/>
              </w:rPr>
            </w:pPr>
            <w:r>
              <w:rPr>
                <w:sz w:val="16"/>
                <w:szCs w:val="16"/>
              </w:rPr>
              <w:t>Medir la efectividad de las acciones correctivas y de mejora implementadas</w:t>
            </w:r>
          </w:p>
        </w:tc>
        <w:tc>
          <w:tcPr>
            <w:tcW w:w="1483" w:type="dxa"/>
            <w:vAlign w:val="center"/>
          </w:tcPr>
          <w:p w:rsidR="00912D99" w:rsidRDefault="00E9611B">
            <w:pPr>
              <w:rPr>
                <w:sz w:val="16"/>
                <w:szCs w:val="16"/>
              </w:rPr>
            </w:pPr>
            <w:r>
              <w:rPr>
                <w:sz w:val="16"/>
                <w:szCs w:val="16"/>
              </w:rPr>
              <w:t>% de acciones correctivas implementadas</w:t>
            </w:r>
          </w:p>
        </w:tc>
        <w:tc>
          <w:tcPr>
            <w:tcW w:w="1787" w:type="dxa"/>
            <w:vAlign w:val="center"/>
          </w:tcPr>
          <w:p w:rsidR="00912D99" w:rsidRDefault="00E9611B">
            <w:pPr>
              <w:rPr>
                <w:sz w:val="16"/>
                <w:szCs w:val="16"/>
              </w:rPr>
            </w:pPr>
            <w:r>
              <w:rPr>
                <w:sz w:val="16"/>
                <w:szCs w:val="16"/>
              </w:rPr>
              <w:t>Actas de retroalimentación, reportes de ajustes</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Semestral</w:t>
            </w:r>
          </w:p>
        </w:tc>
      </w:tr>
      <w:tr w:rsidR="00912D99">
        <w:tc>
          <w:tcPr>
            <w:tcW w:w="1323" w:type="dxa"/>
            <w:vAlign w:val="center"/>
          </w:tcPr>
          <w:p w:rsidR="00912D99" w:rsidRDefault="00E9611B">
            <w:pPr>
              <w:rPr>
                <w:sz w:val="16"/>
                <w:szCs w:val="16"/>
              </w:rPr>
            </w:pPr>
            <w:r>
              <w:rPr>
                <w:sz w:val="16"/>
                <w:szCs w:val="16"/>
              </w:rPr>
              <w:t>Evaluación global del Plan de Austeridad</w:t>
            </w:r>
          </w:p>
        </w:tc>
        <w:tc>
          <w:tcPr>
            <w:tcW w:w="1014" w:type="dxa"/>
            <w:vAlign w:val="center"/>
          </w:tcPr>
          <w:p w:rsidR="00912D99" w:rsidRDefault="00E9611B">
            <w:pPr>
              <w:rPr>
                <w:sz w:val="16"/>
                <w:szCs w:val="16"/>
              </w:rPr>
            </w:pPr>
            <w:r>
              <w:rPr>
                <w:sz w:val="16"/>
                <w:szCs w:val="16"/>
              </w:rPr>
              <w:t>Fase 4</w:t>
            </w:r>
          </w:p>
        </w:tc>
        <w:tc>
          <w:tcPr>
            <w:tcW w:w="1165" w:type="dxa"/>
            <w:vAlign w:val="center"/>
          </w:tcPr>
          <w:p w:rsidR="00912D99" w:rsidRDefault="00E9611B">
            <w:pPr>
              <w:rPr>
                <w:sz w:val="16"/>
                <w:szCs w:val="16"/>
              </w:rPr>
            </w:pPr>
            <w:r>
              <w:rPr>
                <w:sz w:val="16"/>
                <w:szCs w:val="16"/>
              </w:rPr>
              <w:t>Medir el impacto del Plan en la eficiencia institucional y en la racionalizac</w:t>
            </w:r>
            <w:r>
              <w:rPr>
                <w:sz w:val="16"/>
                <w:szCs w:val="16"/>
              </w:rPr>
              <w:t>ión del gasto</w:t>
            </w:r>
          </w:p>
        </w:tc>
        <w:tc>
          <w:tcPr>
            <w:tcW w:w="1483" w:type="dxa"/>
            <w:vAlign w:val="center"/>
          </w:tcPr>
          <w:p w:rsidR="00912D99" w:rsidRDefault="00E9611B">
            <w:pPr>
              <w:rPr>
                <w:sz w:val="16"/>
                <w:szCs w:val="16"/>
              </w:rPr>
            </w:pPr>
            <w:r>
              <w:rPr>
                <w:sz w:val="16"/>
                <w:szCs w:val="16"/>
              </w:rPr>
              <w:t>Ahorro total logrado; indicadores de eficiencia del gasto</w:t>
            </w:r>
          </w:p>
        </w:tc>
        <w:tc>
          <w:tcPr>
            <w:tcW w:w="1787" w:type="dxa"/>
            <w:vAlign w:val="center"/>
          </w:tcPr>
          <w:p w:rsidR="00912D99" w:rsidRDefault="00E9611B">
            <w:pPr>
              <w:rPr>
                <w:sz w:val="16"/>
                <w:szCs w:val="16"/>
              </w:rPr>
            </w:pPr>
            <w:r>
              <w:rPr>
                <w:sz w:val="16"/>
                <w:szCs w:val="16"/>
              </w:rPr>
              <w:t>Reportes finales, auditorías internas, informes de gestión</w:t>
            </w:r>
          </w:p>
        </w:tc>
        <w:tc>
          <w:tcPr>
            <w:tcW w:w="1307" w:type="dxa"/>
            <w:vAlign w:val="center"/>
          </w:tcPr>
          <w:p w:rsidR="00912D99" w:rsidRDefault="00E9611B">
            <w:pPr>
              <w:rPr>
                <w:sz w:val="16"/>
                <w:szCs w:val="16"/>
              </w:rPr>
            </w:pPr>
            <w:r>
              <w:rPr>
                <w:sz w:val="16"/>
                <w:szCs w:val="16"/>
              </w:rPr>
              <w:t xml:space="preserve">Dirección Administrativa y </w:t>
            </w:r>
            <w:proofErr w:type="spellStart"/>
            <w:r>
              <w:rPr>
                <w:sz w:val="16"/>
                <w:szCs w:val="16"/>
              </w:rPr>
              <w:t>TICs</w:t>
            </w:r>
            <w:proofErr w:type="spellEnd"/>
          </w:p>
        </w:tc>
        <w:tc>
          <w:tcPr>
            <w:tcW w:w="940" w:type="dxa"/>
            <w:vAlign w:val="center"/>
          </w:tcPr>
          <w:p w:rsidR="00912D99" w:rsidRDefault="00E9611B">
            <w:pPr>
              <w:rPr>
                <w:sz w:val="16"/>
                <w:szCs w:val="16"/>
              </w:rPr>
            </w:pPr>
            <w:r>
              <w:rPr>
                <w:sz w:val="16"/>
                <w:szCs w:val="16"/>
              </w:rPr>
              <w:t>Trimestral/</w:t>
            </w:r>
          </w:p>
          <w:p w:rsidR="00912D99" w:rsidRDefault="00E9611B">
            <w:pPr>
              <w:rPr>
                <w:sz w:val="16"/>
                <w:szCs w:val="16"/>
              </w:rPr>
            </w:pPr>
            <w:r>
              <w:rPr>
                <w:sz w:val="16"/>
                <w:szCs w:val="16"/>
              </w:rPr>
              <w:t>Semestral</w:t>
            </w:r>
          </w:p>
        </w:tc>
      </w:tr>
    </w:tbl>
    <w:p w:rsidR="006735BE" w:rsidRDefault="00E9611B" w:rsidP="006735BE">
      <w:pPr>
        <w:pStyle w:val="Ttulo1"/>
        <w:jc w:val="both"/>
        <w:rPr>
          <w:rFonts w:ascii="IBM Plex Sans" w:eastAsia="IBM Plex Sans" w:hAnsi="IBM Plex Sans" w:cs="IBM Plex Sans"/>
          <w:sz w:val="20"/>
          <w:szCs w:val="20"/>
        </w:rPr>
      </w:pPr>
      <w:r>
        <w:rPr>
          <w:rFonts w:ascii="IBM Plex Sans" w:eastAsia="IBM Plex Sans" w:hAnsi="IBM Plex Sans" w:cs="IBM Plex Sans"/>
          <w:sz w:val="20"/>
          <w:szCs w:val="20"/>
        </w:rPr>
        <w:t>Tabla 2.  Medición y seguimiento – Plan de Austeridad 2026</w:t>
      </w:r>
    </w:p>
    <w:p w:rsidR="00912D99" w:rsidRDefault="00E9611B" w:rsidP="006735BE">
      <w:pPr>
        <w:pStyle w:val="Ttulo1"/>
        <w:jc w:val="both"/>
        <w:rPr>
          <w:rFonts w:ascii="IBM Plex Sans" w:eastAsia="IBM Plex Sans" w:hAnsi="IBM Plex Sans" w:cs="IBM Plex Sans"/>
          <w:b/>
          <w:bCs/>
        </w:rPr>
      </w:pPr>
      <w:r>
        <w:rPr>
          <w:rFonts w:ascii="IBM Plex Sans" w:eastAsia="IBM Plex Sans" w:hAnsi="IBM Plex Sans" w:cs="IBM Plex Sans"/>
          <w:b/>
          <w:bCs/>
        </w:rPr>
        <w:t>Control de cambios</w:t>
      </w:r>
    </w:p>
    <w:tbl>
      <w:tblPr>
        <w:tblStyle w:val="ad"/>
        <w:tblW w:w="935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5"/>
        <w:gridCol w:w="6236"/>
      </w:tblGrid>
      <w:tr w:rsidR="00912D99">
        <w:trPr>
          <w:trHeight w:val="535"/>
        </w:trPr>
        <w:tc>
          <w:tcPr>
            <w:tcW w:w="3115" w:type="dxa"/>
            <w:shd w:val="clear" w:color="auto" w:fill="auto"/>
            <w:tcMar>
              <w:top w:w="100" w:type="dxa"/>
              <w:left w:w="100" w:type="dxa"/>
              <w:bottom w:w="100" w:type="dxa"/>
              <w:right w:w="100" w:type="dxa"/>
            </w:tcMar>
          </w:tcPr>
          <w:p w:rsidR="00912D99" w:rsidRDefault="00E9611B">
            <w:pPr>
              <w:widowControl w:val="0"/>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 xml:space="preserve">Fecha </w:t>
            </w:r>
          </w:p>
        </w:tc>
        <w:tc>
          <w:tcPr>
            <w:tcW w:w="6236" w:type="dxa"/>
            <w:shd w:val="clear" w:color="auto" w:fill="auto"/>
            <w:tcMar>
              <w:top w:w="100" w:type="dxa"/>
              <w:left w:w="100" w:type="dxa"/>
              <w:bottom w:w="100" w:type="dxa"/>
              <w:right w:w="100" w:type="dxa"/>
            </w:tcMar>
          </w:tcPr>
          <w:p w:rsidR="00912D99" w:rsidRDefault="00E9611B">
            <w:pPr>
              <w:widowControl w:val="0"/>
              <w:pBdr>
                <w:top w:val="nil"/>
                <w:left w:val="nil"/>
                <w:bottom w:val="nil"/>
                <w:right w:val="nil"/>
                <w:between w:val="nil"/>
              </w:pBdr>
              <w:jc w:val="center"/>
              <w:rPr>
                <w:rFonts w:ascii="Arial" w:eastAsia="Arial" w:hAnsi="Arial" w:cs="Arial"/>
                <w:b/>
                <w:bCs/>
                <w:color w:val="000000"/>
                <w:sz w:val="18"/>
                <w:szCs w:val="18"/>
              </w:rPr>
            </w:pPr>
            <w:r>
              <w:rPr>
                <w:rFonts w:ascii="Arial" w:eastAsia="Arial" w:hAnsi="Arial" w:cs="Arial"/>
                <w:b/>
                <w:bCs/>
                <w:color w:val="000000"/>
                <w:sz w:val="18"/>
                <w:szCs w:val="18"/>
              </w:rPr>
              <w:t>Cambio</w:t>
            </w:r>
          </w:p>
        </w:tc>
      </w:tr>
      <w:tr w:rsidR="00912D99">
        <w:trPr>
          <w:trHeight w:val="549"/>
        </w:trPr>
        <w:tc>
          <w:tcPr>
            <w:tcW w:w="3115" w:type="dxa"/>
            <w:shd w:val="clear" w:color="auto" w:fill="auto"/>
            <w:tcMar>
              <w:top w:w="100" w:type="dxa"/>
              <w:left w:w="100" w:type="dxa"/>
              <w:bottom w:w="100" w:type="dxa"/>
              <w:right w:w="100" w:type="dxa"/>
            </w:tcMar>
          </w:tcPr>
          <w:p w:rsidR="00912D99" w:rsidRDefault="00E9611B">
            <w:pPr>
              <w:widowControl w:val="0"/>
              <w:pBdr>
                <w:top w:val="nil"/>
                <w:left w:val="nil"/>
                <w:bottom w:val="nil"/>
                <w:right w:val="nil"/>
                <w:between w:val="nil"/>
              </w:pBdr>
              <w:ind w:left="132"/>
              <w:rPr>
                <w:rFonts w:ascii="Arial" w:eastAsia="Arial" w:hAnsi="Arial" w:cs="Arial"/>
                <w:color w:val="000000"/>
                <w:sz w:val="18"/>
                <w:szCs w:val="18"/>
              </w:rPr>
            </w:pPr>
            <w:r>
              <w:rPr>
                <w:rFonts w:ascii="Arial" w:eastAsia="Arial" w:hAnsi="Arial" w:cs="Arial"/>
                <w:color w:val="000000"/>
                <w:sz w:val="18"/>
                <w:szCs w:val="18"/>
              </w:rPr>
              <w:t xml:space="preserve">18/03/2025 </w:t>
            </w:r>
          </w:p>
        </w:tc>
        <w:tc>
          <w:tcPr>
            <w:tcW w:w="6236" w:type="dxa"/>
            <w:shd w:val="clear" w:color="auto" w:fill="auto"/>
            <w:tcMar>
              <w:top w:w="100" w:type="dxa"/>
              <w:left w:w="100" w:type="dxa"/>
              <w:bottom w:w="100" w:type="dxa"/>
              <w:right w:w="100" w:type="dxa"/>
            </w:tcMar>
          </w:tcPr>
          <w:p w:rsidR="00912D99" w:rsidRDefault="00E9611B">
            <w:pPr>
              <w:widowControl w:val="0"/>
              <w:pBdr>
                <w:top w:val="nil"/>
                <w:left w:val="nil"/>
                <w:bottom w:val="nil"/>
                <w:right w:val="nil"/>
                <w:between w:val="nil"/>
              </w:pBdr>
              <w:ind w:left="127"/>
              <w:rPr>
                <w:rFonts w:ascii="Arial" w:eastAsia="Arial" w:hAnsi="Arial" w:cs="Arial"/>
                <w:color w:val="000000"/>
                <w:sz w:val="18"/>
                <w:szCs w:val="18"/>
              </w:rPr>
            </w:pPr>
            <w:r>
              <w:rPr>
                <w:rFonts w:ascii="Arial" w:eastAsia="Arial" w:hAnsi="Arial" w:cs="Arial"/>
                <w:color w:val="000000"/>
                <w:sz w:val="18"/>
                <w:szCs w:val="18"/>
              </w:rPr>
              <w:t>Formulación del plan</w:t>
            </w:r>
            <w:r w:rsidR="002D2896">
              <w:rPr>
                <w:rFonts w:ascii="Arial" w:eastAsia="Arial" w:hAnsi="Arial" w:cs="Arial"/>
                <w:color w:val="000000"/>
                <w:sz w:val="18"/>
                <w:szCs w:val="18"/>
              </w:rPr>
              <w:t xml:space="preserve"> V01 </w:t>
            </w:r>
          </w:p>
        </w:tc>
      </w:tr>
      <w:tr w:rsidR="00912D99">
        <w:trPr>
          <w:trHeight w:val="549"/>
        </w:trPr>
        <w:tc>
          <w:tcPr>
            <w:tcW w:w="3115" w:type="dxa"/>
            <w:shd w:val="clear" w:color="auto" w:fill="auto"/>
            <w:tcMar>
              <w:top w:w="100" w:type="dxa"/>
              <w:left w:w="100" w:type="dxa"/>
              <w:bottom w:w="100" w:type="dxa"/>
              <w:right w:w="100" w:type="dxa"/>
            </w:tcMar>
          </w:tcPr>
          <w:p w:rsidR="00912D99" w:rsidRDefault="00E9611B">
            <w:pPr>
              <w:widowControl w:val="0"/>
              <w:pBdr>
                <w:top w:val="nil"/>
                <w:left w:val="nil"/>
                <w:bottom w:val="nil"/>
                <w:right w:val="nil"/>
                <w:between w:val="nil"/>
              </w:pBdr>
              <w:ind w:left="132"/>
              <w:rPr>
                <w:rFonts w:ascii="Arial" w:eastAsia="Arial" w:hAnsi="Arial" w:cs="Arial"/>
                <w:color w:val="000000"/>
                <w:sz w:val="18"/>
                <w:szCs w:val="18"/>
              </w:rPr>
            </w:pPr>
            <w:r>
              <w:rPr>
                <w:rFonts w:ascii="Arial" w:eastAsia="Arial" w:hAnsi="Arial" w:cs="Arial"/>
                <w:sz w:val="18"/>
                <w:szCs w:val="18"/>
              </w:rPr>
              <w:lastRenderedPageBreak/>
              <w:t>16/12/2025</w:t>
            </w:r>
          </w:p>
        </w:tc>
        <w:tc>
          <w:tcPr>
            <w:tcW w:w="6236" w:type="dxa"/>
            <w:shd w:val="clear" w:color="auto" w:fill="auto"/>
            <w:tcMar>
              <w:top w:w="100" w:type="dxa"/>
              <w:left w:w="100" w:type="dxa"/>
              <w:bottom w:w="100" w:type="dxa"/>
              <w:right w:w="100" w:type="dxa"/>
            </w:tcMar>
          </w:tcPr>
          <w:p w:rsidR="00912D99" w:rsidRDefault="00E9611B">
            <w:pPr>
              <w:widowControl w:val="0"/>
              <w:pBdr>
                <w:top w:val="nil"/>
                <w:left w:val="nil"/>
                <w:bottom w:val="nil"/>
                <w:right w:val="nil"/>
                <w:between w:val="nil"/>
              </w:pBdr>
              <w:ind w:left="127"/>
              <w:rPr>
                <w:rFonts w:ascii="Arial" w:eastAsia="Arial" w:hAnsi="Arial" w:cs="Arial"/>
                <w:color w:val="000000"/>
                <w:sz w:val="18"/>
                <w:szCs w:val="18"/>
              </w:rPr>
            </w:pPr>
            <w:r>
              <w:rPr>
                <w:rFonts w:ascii="Arial" w:eastAsia="Arial" w:hAnsi="Arial" w:cs="Arial"/>
                <w:sz w:val="18"/>
                <w:szCs w:val="18"/>
              </w:rPr>
              <w:t>Actualización Plan de Austeridad teniendo en cuenta informes de ejecución de 2025.</w:t>
            </w:r>
          </w:p>
        </w:tc>
      </w:tr>
    </w:tbl>
    <w:p w:rsidR="00912D99" w:rsidRDefault="00912D99">
      <w:pPr>
        <w:jc w:val="both"/>
        <w:rPr>
          <w:rFonts w:ascii="IBM Plex Sans" w:eastAsia="IBM Plex Sans" w:hAnsi="IBM Plex Sans" w:cs="IBM Plex Sans"/>
          <w:b/>
          <w:bCs/>
        </w:rPr>
      </w:pPr>
    </w:p>
    <w:tbl>
      <w:tblPr>
        <w:tblStyle w:val="ae"/>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3120"/>
        <w:gridCol w:w="3118"/>
      </w:tblGrid>
      <w:tr w:rsidR="00912D99" w:rsidTr="00912D99">
        <w:trPr>
          <w:trHeight w:val="283"/>
        </w:trPr>
        <w:tc>
          <w:tcPr>
            <w:tcW w:w="3118" w:type="dxa"/>
            <w:shd w:val="clear" w:color="auto" w:fill="auto"/>
            <w:tcMar>
              <w:top w:w="100" w:type="dxa"/>
              <w:left w:w="100" w:type="dxa"/>
              <w:bottom w:w="100" w:type="dxa"/>
              <w:right w:w="100" w:type="dxa"/>
            </w:tcMar>
          </w:tcPr>
          <w:p w:rsidR="00912D99" w:rsidRDefault="00E9611B">
            <w:pPr>
              <w:pBdr>
                <w:top w:val="nil"/>
                <w:left w:val="nil"/>
                <w:bottom w:val="nil"/>
                <w:right w:val="nil"/>
                <w:between w:val="nil"/>
              </w:pBdr>
              <w:spacing w:line="276" w:lineRule="auto"/>
              <w:jc w:val="both"/>
              <w:rPr>
                <w:b/>
                <w:bCs/>
                <w:color w:val="000000"/>
                <w:sz w:val="19"/>
                <w:szCs w:val="19"/>
              </w:rPr>
            </w:pPr>
            <w:r>
              <w:rPr>
                <w:rFonts w:ascii="IBM Plex Sans" w:eastAsia="IBM Plex Sans" w:hAnsi="IBM Plex Sans" w:cs="IBM Plex Sans"/>
                <w:b/>
                <w:bCs/>
                <w:sz w:val="16"/>
                <w:szCs w:val="16"/>
              </w:rPr>
              <w:t xml:space="preserve">Elaboró </w:t>
            </w:r>
          </w:p>
        </w:tc>
        <w:tc>
          <w:tcPr>
            <w:tcW w:w="3120" w:type="dxa"/>
            <w:shd w:val="clear" w:color="auto" w:fill="auto"/>
            <w:tcMar>
              <w:top w:w="100" w:type="dxa"/>
              <w:left w:w="100" w:type="dxa"/>
              <w:bottom w:w="100" w:type="dxa"/>
              <w:right w:w="100" w:type="dxa"/>
            </w:tcMar>
          </w:tcPr>
          <w:p w:rsidR="00912D99" w:rsidRDefault="00E9611B">
            <w:pPr>
              <w:pBdr>
                <w:top w:val="nil"/>
                <w:left w:val="nil"/>
                <w:bottom w:val="nil"/>
                <w:right w:val="nil"/>
                <w:between w:val="nil"/>
              </w:pBdr>
              <w:spacing w:line="276" w:lineRule="auto"/>
              <w:jc w:val="both"/>
              <w:rPr>
                <w:b/>
                <w:bCs/>
                <w:color w:val="000000"/>
                <w:sz w:val="19"/>
                <w:szCs w:val="19"/>
              </w:rPr>
            </w:pPr>
            <w:r>
              <w:rPr>
                <w:rFonts w:ascii="IBM Plex Sans" w:eastAsia="IBM Plex Sans" w:hAnsi="IBM Plex Sans" w:cs="IBM Plex Sans"/>
                <w:b/>
                <w:bCs/>
                <w:sz w:val="16"/>
                <w:szCs w:val="16"/>
              </w:rPr>
              <w:t xml:space="preserve">Revisó </w:t>
            </w:r>
          </w:p>
        </w:tc>
        <w:tc>
          <w:tcPr>
            <w:tcW w:w="3118" w:type="dxa"/>
            <w:shd w:val="clear" w:color="auto" w:fill="auto"/>
            <w:tcMar>
              <w:top w:w="100" w:type="dxa"/>
              <w:left w:w="100" w:type="dxa"/>
              <w:bottom w:w="100" w:type="dxa"/>
              <w:right w:w="100" w:type="dxa"/>
            </w:tcMar>
          </w:tcPr>
          <w:p w:rsidR="00912D99" w:rsidRDefault="00E9611B">
            <w:pPr>
              <w:pBdr>
                <w:top w:val="nil"/>
                <w:left w:val="nil"/>
                <w:bottom w:val="nil"/>
                <w:right w:val="nil"/>
                <w:between w:val="nil"/>
              </w:pBdr>
              <w:spacing w:line="276" w:lineRule="auto"/>
              <w:jc w:val="both"/>
              <w:rPr>
                <w:b/>
                <w:bCs/>
                <w:color w:val="000000"/>
                <w:sz w:val="19"/>
                <w:szCs w:val="19"/>
              </w:rPr>
            </w:pPr>
            <w:r>
              <w:rPr>
                <w:rFonts w:ascii="IBM Plex Sans" w:eastAsia="IBM Plex Sans" w:hAnsi="IBM Plex Sans" w:cs="IBM Plex Sans"/>
                <w:b/>
                <w:bCs/>
                <w:sz w:val="16"/>
                <w:szCs w:val="16"/>
              </w:rPr>
              <w:t>Aprobó</w:t>
            </w:r>
          </w:p>
        </w:tc>
      </w:tr>
      <w:tr w:rsidR="00912D99" w:rsidTr="00912D99">
        <w:trPr>
          <w:trHeight w:val="1411"/>
        </w:trPr>
        <w:tc>
          <w:tcPr>
            <w:tcW w:w="3118" w:type="dxa"/>
            <w:shd w:val="clear" w:color="auto" w:fill="auto"/>
            <w:tcMar>
              <w:top w:w="100" w:type="dxa"/>
              <w:left w:w="100" w:type="dxa"/>
              <w:bottom w:w="100" w:type="dxa"/>
              <w:right w:w="100" w:type="dxa"/>
            </w:tcMar>
          </w:tcPr>
          <w:p w:rsidR="00912D99" w:rsidRDefault="00E9611B">
            <w:pPr>
              <w:pBdr>
                <w:top w:val="nil"/>
                <w:left w:val="nil"/>
                <w:bottom w:val="nil"/>
                <w:right w:val="nil"/>
                <w:between w:val="nil"/>
              </w:pBdr>
              <w:spacing w:line="276" w:lineRule="auto"/>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Nombre: </w:t>
            </w:r>
            <w:proofErr w:type="spellStart"/>
            <w:r>
              <w:rPr>
                <w:rFonts w:ascii="IBM Plex Sans" w:eastAsia="IBM Plex Sans" w:hAnsi="IBM Plex Sans" w:cs="IBM Plex Sans"/>
                <w:sz w:val="16"/>
                <w:szCs w:val="16"/>
              </w:rPr>
              <w:t>Luzbi</w:t>
            </w:r>
            <w:proofErr w:type="spellEnd"/>
            <w:r>
              <w:rPr>
                <w:rFonts w:ascii="IBM Plex Sans" w:eastAsia="IBM Plex Sans" w:hAnsi="IBM Plex Sans" w:cs="IBM Plex Sans"/>
                <w:sz w:val="16"/>
                <w:szCs w:val="16"/>
              </w:rPr>
              <w:t xml:space="preserve"> Pinzón</w:t>
            </w:r>
          </w:p>
          <w:p w:rsidR="00912D99" w:rsidRDefault="00E9611B">
            <w:pPr>
              <w:pBdr>
                <w:top w:val="nil"/>
                <w:left w:val="nil"/>
                <w:bottom w:val="nil"/>
                <w:right w:val="nil"/>
                <w:between w:val="nil"/>
              </w:pBdr>
              <w:spacing w:before="2" w:line="276" w:lineRule="auto"/>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Cargo/Rol: Contratista </w:t>
            </w:r>
          </w:p>
          <w:p w:rsidR="00912D99" w:rsidRDefault="00E9611B">
            <w:pPr>
              <w:pBdr>
                <w:top w:val="nil"/>
                <w:left w:val="nil"/>
                <w:bottom w:val="nil"/>
                <w:right w:val="nil"/>
                <w:between w:val="nil"/>
              </w:pBdr>
              <w:spacing w:line="276" w:lineRule="auto"/>
              <w:ind w:hanging="4"/>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Área: Dirección Administrativa </w:t>
            </w:r>
            <w:proofErr w:type="gramStart"/>
            <w:r>
              <w:rPr>
                <w:rFonts w:ascii="IBM Plex Sans" w:eastAsia="IBM Plex Sans" w:hAnsi="IBM Plex Sans" w:cs="IBM Plex Sans"/>
                <w:sz w:val="16"/>
                <w:szCs w:val="16"/>
              </w:rPr>
              <w:t>y  de</w:t>
            </w:r>
            <w:proofErr w:type="gramEnd"/>
            <w:r>
              <w:rPr>
                <w:rFonts w:ascii="IBM Plex Sans" w:eastAsia="IBM Plex Sans" w:hAnsi="IBM Plex Sans" w:cs="IBM Plex Sans"/>
                <w:sz w:val="16"/>
                <w:szCs w:val="16"/>
              </w:rPr>
              <w:t xml:space="preserve"> </w:t>
            </w:r>
            <w:proofErr w:type="spellStart"/>
            <w:r>
              <w:rPr>
                <w:rFonts w:ascii="IBM Plex Sans" w:eastAsia="IBM Plex Sans" w:hAnsi="IBM Plex Sans" w:cs="IBM Plex Sans"/>
                <w:sz w:val="16"/>
                <w:szCs w:val="16"/>
              </w:rPr>
              <w:t>TICs</w:t>
            </w:r>
            <w:proofErr w:type="spellEnd"/>
          </w:p>
        </w:tc>
        <w:tc>
          <w:tcPr>
            <w:tcW w:w="3120" w:type="dxa"/>
            <w:shd w:val="clear" w:color="auto" w:fill="auto"/>
            <w:tcMar>
              <w:top w:w="100" w:type="dxa"/>
              <w:left w:w="100" w:type="dxa"/>
              <w:bottom w:w="100" w:type="dxa"/>
              <w:right w:w="100" w:type="dxa"/>
            </w:tcMar>
          </w:tcPr>
          <w:p w:rsidR="00912D99" w:rsidRDefault="00E9611B">
            <w:pPr>
              <w:pBdr>
                <w:top w:val="nil"/>
                <w:left w:val="nil"/>
                <w:bottom w:val="nil"/>
                <w:right w:val="nil"/>
                <w:between w:val="nil"/>
              </w:pBdr>
              <w:spacing w:line="276" w:lineRule="auto"/>
              <w:ind w:firstLine="12"/>
              <w:jc w:val="both"/>
              <w:rPr>
                <w:rFonts w:ascii="IBM Plex Sans" w:eastAsia="IBM Plex Sans" w:hAnsi="IBM Plex Sans" w:cs="IBM Plex Sans"/>
                <w:sz w:val="16"/>
                <w:szCs w:val="16"/>
              </w:rPr>
            </w:pPr>
            <w:r>
              <w:rPr>
                <w:rFonts w:ascii="IBM Plex Sans" w:eastAsia="IBM Plex Sans" w:hAnsi="IBM Plex Sans" w:cs="IBM Plex Sans"/>
                <w:sz w:val="16"/>
                <w:szCs w:val="16"/>
              </w:rPr>
              <w:t>Nombre: Juan Manuel Carvajal Ospina.</w:t>
            </w:r>
          </w:p>
          <w:p w:rsidR="00912D99" w:rsidRDefault="00E9611B">
            <w:pPr>
              <w:pBdr>
                <w:top w:val="nil"/>
                <w:left w:val="nil"/>
                <w:bottom w:val="nil"/>
                <w:right w:val="nil"/>
                <w:between w:val="nil"/>
              </w:pBdr>
              <w:spacing w:line="276" w:lineRule="auto"/>
              <w:ind w:firstLine="12"/>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Cargo/Rol: Contratista Dirección Administrativa y de </w:t>
            </w:r>
            <w:proofErr w:type="spellStart"/>
            <w:r>
              <w:rPr>
                <w:rFonts w:ascii="IBM Plex Sans" w:eastAsia="IBM Plex Sans" w:hAnsi="IBM Plex Sans" w:cs="IBM Plex Sans"/>
                <w:sz w:val="16"/>
                <w:szCs w:val="16"/>
              </w:rPr>
              <w:t>TICs</w:t>
            </w:r>
            <w:proofErr w:type="spellEnd"/>
          </w:p>
          <w:p w:rsidR="00912D99" w:rsidRDefault="00E9611B">
            <w:pPr>
              <w:pBdr>
                <w:top w:val="nil"/>
                <w:left w:val="nil"/>
                <w:bottom w:val="nil"/>
                <w:right w:val="nil"/>
                <w:between w:val="nil"/>
              </w:pBdr>
              <w:spacing w:line="276" w:lineRule="auto"/>
              <w:ind w:firstLine="12"/>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Alicia Mercedes Rico Atencio </w:t>
            </w:r>
          </w:p>
          <w:p w:rsidR="00912D99" w:rsidRDefault="00E9611B">
            <w:pPr>
              <w:pBdr>
                <w:top w:val="nil"/>
                <w:left w:val="nil"/>
                <w:bottom w:val="nil"/>
                <w:right w:val="nil"/>
                <w:between w:val="nil"/>
              </w:pBdr>
              <w:spacing w:before="2" w:line="276" w:lineRule="auto"/>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Cargo/Rol: Contratista </w:t>
            </w:r>
          </w:p>
          <w:p w:rsidR="00912D99" w:rsidRDefault="00E9611B">
            <w:pPr>
              <w:pBdr>
                <w:top w:val="nil"/>
                <w:left w:val="nil"/>
                <w:bottom w:val="nil"/>
                <w:right w:val="nil"/>
                <w:between w:val="nil"/>
              </w:pBdr>
              <w:spacing w:line="276" w:lineRule="auto"/>
              <w:ind w:hanging="5"/>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Área: Subgerencia de </w:t>
            </w:r>
            <w:r w:rsidR="006735BE">
              <w:rPr>
                <w:rFonts w:ascii="IBM Plex Sans" w:eastAsia="IBM Plex Sans" w:hAnsi="IBM Plex Sans" w:cs="IBM Plex Sans"/>
                <w:sz w:val="16"/>
                <w:szCs w:val="16"/>
              </w:rPr>
              <w:t>Gestión Corporativa</w:t>
            </w:r>
            <w:bookmarkStart w:id="23" w:name="_GoBack"/>
            <w:bookmarkEnd w:id="23"/>
          </w:p>
        </w:tc>
        <w:tc>
          <w:tcPr>
            <w:tcW w:w="3118" w:type="dxa"/>
            <w:shd w:val="clear" w:color="auto" w:fill="auto"/>
            <w:tcMar>
              <w:top w:w="100" w:type="dxa"/>
              <w:left w:w="100" w:type="dxa"/>
              <w:bottom w:w="100" w:type="dxa"/>
              <w:right w:w="100" w:type="dxa"/>
            </w:tcMar>
          </w:tcPr>
          <w:p w:rsidR="00912D99" w:rsidRDefault="00E9611B">
            <w:pPr>
              <w:pBdr>
                <w:top w:val="nil"/>
                <w:left w:val="nil"/>
                <w:bottom w:val="nil"/>
                <w:right w:val="nil"/>
                <w:between w:val="nil"/>
              </w:pBdr>
              <w:spacing w:line="276" w:lineRule="auto"/>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Nombre: Hernán Alberto  </w:t>
            </w:r>
          </w:p>
          <w:p w:rsidR="00912D99" w:rsidRDefault="00E9611B">
            <w:pPr>
              <w:pBdr>
                <w:top w:val="nil"/>
                <w:left w:val="nil"/>
                <w:bottom w:val="nil"/>
                <w:right w:val="nil"/>
                <w:between w:val="nil"/>
              </w:pBdr>
              <w:spacing w:line="276" w:lineRule="auto"/>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Velandia Pérez </w:t>
            </w:r>
          </w:p>
          <w:p w:rsidR="00912D99" w:rsidRDefault="00E9611B">
            <w:pPr>
              <w:pBdr>
                <w:top w:val="nil"/>
                <w:left w:val="nil"/>
                <w:bottom w:val="nil"/>
                <w:right w:val="nil"/>
                <w:between w:val="nil"/>
              </w:pBdr>
              <w:spacing w:line="276" w:lineRule="auto"/>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Cargo/Rol: </w:t>
            </w:r>
            <w:proofErr w:type="gramStart"/>
            <w:r>
              <w:rPr>
                <w:rFonts w:ascii="IBM Plex Sans" w:eastAsia="IBM Plex Sans" w:hAnsi="IBM Plex Sans" w:cs="IBM Plex Sans"/>
                <w:sz w:val="16"/>
                <w:szCs w:val="16"/>
              </w:rPr>
              <w:t>Director</w:t>
            </w:r>
            <w:proofErr w:type="gramEnd"/>
            <w:r>
              <w:rPr>
                <w:rFonts w:ascii="IBM Plex Sans" w:eastAsia="IBM Plex Sans" w:hAnsi="IBM Plex Sans" w:cs="IBM Plex Sans"/>
                <w:sz w:val="16"/>
                <w:szCs w:val="16"/>
              </w:rPr>
              <w:t xml:space="preserve">  </w:t>
            </w:r>
          </w:p>
          <w:p w:rsidR="00912D99" w:rsidRDefault="00E9611B">
            <w:pPr>
              <w:pBdr>
                <w:top w:val="nil"/>
                <w:left w:val="nil"/>
                <w:bottom w:val="nil"/>
                <w:right w:val="nil"/>
                <w:between w:val="nil"/>
              </w:pBdr>
              <w:spacing w:line="276" w:lineRule="auto"/>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Administrativo y de </w:t>
            </w:r>
            <w:proofErr w:type="spellStart"/>
            <w:r>
              <w:rPr>
                <w:rFonts w:ascii="IBM Plex Sans" w:eastAsia="IBM Plex Sans" w:hAnsi="IBM Plex Sans" w:cs="IBM Plex Sans"/>
                <w:sz w:val="16"/>
                <w:szCs w:val="16"/>
              </w:rPr>
              <w:t>TICs</w:t>
            </w:r>
            <w:proofErr w:type="spellEnd"/>
            <w:r>
              <w:rPr>
                <w:rFonts w:ascii="IBM Plex Sans" w:eastAsia="IBM Plex Sans" w:hAnsi="IBM Plex Sans" w:cs="IBM Plex Sans"/>
                <w:sz w:val="16"/>
                <w:szCs w:val="16"/>
              </w:rPr>
              <w:t xml:space="preserve"> </w:t>
            </w:r>
          </w:p>
          <w:p w:rsidR="00912D99" w:rsidRDefault="00E9611B">
            <w:pPr>
              <w:pBdr>
                <w:top w:val="nil"/>
                <w:left w:val="nil"/>
                <w:bottom w:val="nil"/>
                <w:right w:val="nil"/>
                <w:between w:val="nil"/>
              </w:pBdr>
              <w:spacing w:line="276" w:lineRule="auto"/>
              <w:ind w:hanging="4"/>
              <w:jc w:val="both"/>
              <w:rPr>
                <w:rFonts w:ascii="IBM Plex Sans" w:eastAsia="IBM Plex Sans" w:hAnsi="IBM Plex Sans" w:cs="IBM Plex Sans"/>
                <w:sz w:val="16"/>
                <w:szCs w:val="16"/>
              </w:rPr>
            </w:pPr>
            <w:r>
              <w:rPr>
                <w:rFonts w:ascii="IBM Plex Sans" w:eastAsia="IBM Plex Sans" w:hAnsi="IBM Plex Sans" w:cs="IBM Plex Sans"/>
                <w:sz w:val="16"/>
                <w:szCs w:val="16"/>
              </w:rPr>
              <w:t xml:space="preserve">Área: Dirección Administrativa </w:t>
            </w:r>
            <w:proofErr w:type="gramStart"/>
            <w:r>
              <w:rPr>
                <w:rFonts w:ascii="IBM Plex Sans" w:eastAsia="IBM Plex Sans" w:hAnsi="IBM Plex Sans" w:cs="IBM Plex Sans"/>
                <w:sz w:val="16"/>
                <w:szCs w:val="16"/>
              </w:rPr>
              <w:t>y  de</w:t>
            </w:r>
            <w:proofErr w:type="gramEnd"/>
            <w:r>
              <w:rPr>
                <w:rFonts w:ascii="IBM Plex Sans" w:eastAsia="IBM Plex Sans" w:hAnsi="IBM Plex Sans" w:cs="IBM Plex Sans"/>
                <w:sz w:val="16"/>
                <w:szCs w:val="16"/>
              </w:rPr>
              <w:t xml:space="preserve"> </w:t>
            </w:r>
            <w:proofErr w:type="spellStart"/>
            <w:r>
              <w:rPr>
                <w:rFonts w:ascii="IBM Plex Sans" w:eastAsia="IBM Plex Sans" w:hAnsi="IBM Plex Sans" w:cs="IBM Plex Sans"/>
                <w:sz w:val="16"/>
                <w:szCs w:val="16"/>
              </w:rPr>
              <w:t>TICs</w:t>
            </w:r>
            <w:proofErr w:type="spellEnd"/>
          </w:p>
        </w:tc>
      </w:tr>
    </w:tbl>
    <w:p w:rsidR="00912D99" w:rsidRDefault="00E9611B">
      <w:pPr>
        <w:jc w:val="both"/>
      </w:pPr>
      <w:bookmarkStart w:id="24" w:name="_heading=h.m0c3vqgg3td0" w:colFirst="0" w:colLast="0"/>
      <w:bookmarkEnd w:id="24"/>
      <w:r>
        <w:t>Nota: El presente plan se aprueba y/o actualiza en el marco del Comité Institucional de Gestión y Desempeño Institucional de la Empresa</w:t>
      </w:r>
      <w:r w:rsidR="006735BE">
        <w:t xml:space="preserve"> el </w:t>
      </w:r>
      <w:proofErr w:type="spellStart"/>
      <w:r w:rsidR="006735BE">
        <w:t>xx</w:t>
      </w:r>
      <w:proofErr w:type="spellEnd"/>
      <w:r w:rsidR="006735BE">
        <w:t xml:space="preserve"> de enero de 2026.</w:t>
      </w:r>
    </w:p>
    <w:p w:rsidR="00912D99" w:rsidRDefault="00912D99">
      <w:pPr>
        <w:jc w:val="both"/>
        <w:rPr>
          <w:rFonts w:ascii="IBM Plex Sans" w:eastAsia="IBM Plex Sans" w:hAnsi="IBM Plex Sans" w:cs="IBM Plex Sans"/>
          <w:b/>
          <w:bCs/>
        </w:rPr>
      </w:pPr>
    </w:p>
    <w:p w:rsidR="00912D99" w:rsidRDefault="00912D99">
      <w:pPr>
        <w:jc w:val="both"/>
        <w:rPr>
          <w:rFonts w:ascii="IBM Plex Sans" w:eastAsia="IBM Plex Sans" w:hAnsi="IBM Plex Sans" w:cs="IBM Plex Sans"/>
        </w:rPr>
      </w:pPr>
      <w:bookmarkStart w:id="25" w:name="_heading=h.d70bfs53kz7u" w:colFirst="0" w:colLast="0"/>
      <w:bookmarkEnd w:id="25"/>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p w:rsidR="00912D99" w:rsidRDefault="00912D99">
      <w:pPr>
        <w:jc w:val="both"/>
        <w:rPr>
          <w:rFonts w:ascii="IBM Plex Sans" w:eastAsia="IBM Plex Sans" w:hAnsi="IBM Plex Sans" w:cs="IBM Plex Sans"/>
        </w:rPr>
      </w:pPr>
    </w:p>
    <w:sectPr w:rsidR="00912D99">
      <w:headerReference w:type="even" r:id="rId9"/>
      <w:headerReference w:type="default" r:id="rId10"/>
      <w:footerReference w:type="even" r:id="rId11"/>
      <w:footerReference w:type="default" r:id="rId12"/>
      <w:headerReference w:type="first" r:id="rId13"/>
      <w:footerReference w:type="first" r:id="rId14"/>
      <w:pgSz w:w="12240" w:h="15840"/>
      <w:pgMar w:top="21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611B" w:rsidRDefault="00E9611B">
      <w:pPr>
        <w:spacing w:line="240" w:lineRule="auto"/>
      </w:pPr>
      <w:r>
        <w:separator/>
      </w:r>
    </w:p>
  </w:endnote>
  <w:endnote w:type="continuationSeparator" w:id="0">
    <w:p w:rsidR="00E9611B" w:rsidRDefault="00E961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0B879546-B3B1-4DFD-92DA-C2D4B9B3237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215DF8-6716-4CBC-89A2-D55454A70844}"/>
  </w:font>
  <w:font w:name="IBM Plex Sans">
    <w:altName w:val="Calibri"/>
    <w:charset w:val="00"/>
    <w:family w:val="auto"/>
    <w:pitch w:val="default"/>
    <w:embedRegular r:id="rId3" w:fontKey="{457B69FA-A48B-4915-9170-6C2FEC78E90A}"/>
    <w:embedBold r:id="rId4" w:fontKey="{0569EA1E-2BBA-4A6C-89D5-FF83919B48A8}"/>
  </w:font>
  <w:font w:name="Cambria">
    <w:panose1 w:val="02040503050406030204"/>
    <w:charset w:val="00"/>
    <w:family w:val="roman"/>
    <w:pitch w:val="variable"/>
    <w:sig w:usb0="E00006FF" w:usb1="420024FF" w:usb2="02000000" w:usb3="00000000" w:csb0="0000019F" w:csb1="00000000"/>
    <w:embedRegular r:id="rId5" w:fontKey="{7E26F4D6-FD3D-4CCC-A5AD-45A17D1268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99" w:rsidRDefault="00912D99">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99" w:rsidRDefault="00E9611B">
    <w:pPr>
      <w:jc w:val="center"/>
      <w:rPr>
        <w:rFonts w:ascii="IBM Plex Sans" w:eastAsia="IBM Plex Sans" w:hAnsi="IBM Plex Sans" w:cs="IBM Plex Sans"/>
        <w:color w:val="003031"/>
        <w:sz w:val="17"/>
        <w:szCs w:val="17"/>
      </w:rPr>
    </w:pPr>
    <w:r>
      <w:rPr>
        <w:noProof/>
      </w:rPr>
      <w:drawing>
        <wp:anchor distT="114300" distB="114300" distL="114300" distR="114300" simplePos="0" relativeHeight="251659264" behindDoc="0" locked="0" layoutInCell="1" hidden="0" allowOverlap="1">
          <wp:simplePos x="0" y="0"/>
          <wp:positionH relativeFrom="column">
            <wp:posOffset>4838700</wp:posOffset>
          </wp:positionH>
          <wp:positionV relativeFrom="paragraph">
            <wp:posOffset>123825</wp:posOffset>
          </wp:positionV>
          <wp:extent cx="1414463" cy="460711"/>
          <wp:effectExtent l="0" t="0" r="0" b="0"/>
          <wp:wrapNone/>
          <wp:docPr id="13745651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14463" cy="460711"/>
                  </a:xfrm>
                  <a:prstGeom prst="rect">
                    <a:avLst/>
                  </a:prstGeom>
                  <a:ln/>
                </pic:spPr>
              </pic:pic>
            </a:graphicData>
          </a:graphic>
        </wp:anchor>
      </w:drawing>
    </w:r>
  </w:p>
  <w:p w:rsidR="00912D99" w:rsidRDefault="00E9611B">
    <w:pPr>
      <w:ind w:left="-850"/>
      <w:rPr>
        <w:rFonts w:ascii="IBM Plex Sans" w:eastAsia="IBM Plex Sans" w:hAnsi="IBM Plex Sans" w:cs="IBM Plex Sans"/>
        <w:color w:val="003031"/>
        <w:sz w:val="17"/>
        <w:szCs w:val="17"/>
      </w:rPr>
    </w:pPr>
    <w:r>
      <w:rPr>
        <w:rFonts w:ascii="IBM Plex Sans" w:eastAsia="IBM Plex Sans" w:hAnsi="IBM Plex Sans" w:cs="IBM Plex Sans"/>
        <w:b/>
        <w:bCs/>
        <w:color w:val="003031"/>
        <w:sz w:val="17"/>
        <w:szCs w:val="17"/>
      </w:rPr>
      <w:t xml:space="preserve">Empresa de Renovación Urbana - </w:t>
    </w:r>
    <w:proofErr w:type="spellStart"/>
    <w:r>
      <w:rPr>
        <w:rFonts w:ascii="IBM Plex Sans" w:eastAsia="IBM Plex Sans" w:hAnsi="IBM Plex Sans" w:cs="IBM Plex Sans"/>
        <w:b/>
        <w:bCs/>
        <w:color w:val="003031"/>
        <w:sz w:val="17"/>
        <w:szCs w:val="17"/>
      </w:rPr>
      <w:t>RenoBo</w:t>
    </w:r>
    <w:proofErr w:type="spellEnd"/>
    <w:r>
      <w:rPr>
        <w:rFonts w:ascii="IBM Plex Sans" w:eastAsia="IBM Plex Sans" w:hAnsi="IBM Plex Sans" w:cs="IBM Plex Sans"/>
        <w:b/>
        <w:bCs/>
        <w:color w:val="003031"/>
        <w:sz w:val="17"/>
        <w:szCs w:val="17"/>
      </w:rPr>
      <w:br/>
    </w:r>
    <w:r>
      <w:rPr>
        <w:rFonts w:ascii="IBM Plex Sans" w:eastAsia="IBM Plex Sans" w:hAnsi="IBM Plex Sans" w:cs="IBM Plex Sans"/>
        <w:color w:val="003031"/>
        <w:sz w:val="17"/>
        <w:szCs w:val="17"/>
      </w:rPr>
      <w:t>Carrera 10 No. 17-18. Bogotá - Colombia</w:t>
    </w:r>
    <w:r>
      <w:rPr>
        <w:noProof/>
      </w:rPr>
      <w:drawing>
        <wp:anchor distT="114300" distB="114300" distL="114300" distR="114300" simplePos="0" relativeHeight="251660288" behindDoc="0" locked="0" layoutInCell="1" hidden="0" allowOverlap="1">
          <wp:simplePos x="0" y="0"/>
          <wp:positionH relativeFrom="column">
            <wp:posOffset>-533397</wp:posOffset>
          </wp:positionH>
          <wp:positionV relativeFrom="paragraph">
            <wp:posOffset>338490</wp:posOffset>
          </wp:positionV>
          <wp:extent cx="579600" cy="88283"/>
          <wp:effectExtent l="0" t="0" r="0" b="0"/>
          <wp:wrapNone/>
          <wp:docPr id="1374565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79600" cy="88283"/>
                  </a:xfrm>
                  <a:prstGeom prst="rect">
                    <a:avLst/>
                  </a:prstGeom>
                  <a:ln/>
                </pic:spPr>
              </pic:pic>
            </a:graphicData>
          </a:graphic>
        </wp:anchor>
      </w:drawing>
    </w:r>
  </w:p>
  <w:p w:rsidR="00912D99" w:rsidRDefault="00E9611B">
    <w:pPr>
      <w:ind w:left="-850"/>
      <w:rPr>
        <w:rFonts w:ascii="IBM Plex Sans" w:eastAsia="IBM Plex Sans" w:hAnsi="IBM Plex Sans" w:cs="IBM Plex Sans"/>
        <w:color w:val="003031"/>
        <w:sz w:val="17"/>
        <w:szCs w:val="17"/>
      </w:rPr>
    </w:pPr>
    <w:r>
      <w:rPr>
        <w:rFonts w:ascii="IBM Plex Sans" w:eastAsia="IBM Plex Sans" w:hAnsi="IBM Plex Sans" w:cs="IBM Plex Sans"/>
        <w:color w:val="003031"/>
        <w:sz w:val="17"/>
        <w:szCs w:val="17"/>
      </w:rPr>
      <w:t xml:space="preserve">                          @</w:t>
    </w:r>
    <w:proofErr w:type="spellStart"/>
    <w:r>
      <w:rPr>
        <w:rFonts w:ascii="IBM Plex Sans" w:eastAsia="IBM Plex Sans" w:hAnsi="IBM Plex Sans" w:cs="IBM Plex Sans"/>
        <w:color w:val="003031"/>
        <w:sz w:val="17"/>
        <w:szCs w:val="17"/>
      </w:rPr>
      <w:t>RenoBo_Bogota</w:t>
    </w:r>
    <w:proofErr w:type="spellEnd"/>
    <w:r>
      <w:rPr>
        <w:rFonts w:ascii="IBM Plex Sans" w:eastAsia="IBM Plex Sans" w:hAnsi="IBM Plex Sans" w:cs="IBM Plex Sans"/>
        <w:color w:val="003031"/>
        <w:sz w:val="17"/>
        <w:szCs w:val="17"/>
      </w:rPr>
      <w:t xml:space="preserve"> - www.renobo.com.co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99" w:rsidRDefault="00912D99">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611B" w:rsidRDefault="00E9611B">
      <w:pPr>
        <w:spacing w:line="240" w:lineRule="auto"/>
      </w:pPr>
      <w:r>
        <w:separator/>
      </w:r>
    </w:p>
  </w:footnote>
  <w:footnote w:type="continuationSeparator" w:id="0">
    <w:p w:rsidR="00E9611B" w:rsidRDefault="00E961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99" w:rsidRDefault="00912D99">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99" w:rsidRDefault="00912D99"/>
  <w:p w:rsidR="00912D99" w:rsidRDefault="00E9611B">
    <w:pPr>
      <w:ind w:right="-1032"/>
      <w:jc w:val="right"/>
      <w:rPr>
        <w:sz w:val="18"/>
        <w:szCs w:val="18"/>
      </w:rPr>
    </w:pPr>
    <w:r>
      <w:rPr>
        <w:rFonts w:ascii="IBM Plex Sans" w:eastAsia="IBM Plex Sans" w:hAnsi="IBM Plex Sans" w:cs="IBM Plex Sans"/>
        <w:color w:val="434343"/>
        <w:sz w:val="18"/>
        <w:szCs w:val="18"/>
      </w:rPr>
      <w:t xml:space="preserve"> </w:t>
    </w:r>
    <w:r>
      <w:rPr>
        <w:noProof/>
        <w:sz w:val="18"/>
        <w:szCs w:val="18"/>
      </w:rPr>
      <w:drawing>
        <wp:anchor distT="114300" distB="114300" distL="114300" distR="114300" simplePos="0" relativeHeight="251658240" behindDoc="0" locked="0" layoutInCell="1" hidden="0" allowOverlap="1">
          <wp:simplePos x="0" y="0"/>
          <wp:positionH relativeFrom="page">
            <wp:posOffset>-47622</wp:posOffset>
          </wp:positionH>
          <wp:positionV relativeFrom="page">
            <wp:posOffset>0</wp:posOffset>
          </wp:positionV>
          <wp:extent cx="2804716" cy="909638"/>
          <wp:effectExtent l="0" t="0" r="0" b="0"/>
          <wp:wrapNone/>
          <wp:docPr id="13745651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04716" cy="9096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D99" w:rsidRDefault="00912D99">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433BF"/>
    <w:multiLevelType w:val="multilevel"/>
    <w:tmpl w:val="BC140158"/>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E122BC"/>
    <w:multiLevelType w:val="multilevel"/>
    <w:tmpl w:val="6C381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701878"/>
    <w:multiLevelType w:val="hybridMultilevel"/>
    <w:tmpl w:val="ADD69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E83582A"/>
    <w:multiLevelType w:val="multilevel"/>
    <w:tmpl w:val="0CA46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D99"/>
    <w:rsid w:val="00217313"/>
    <w:rsid w:val="0028597B"/>
    <w:rsid w:val="002D2896"/>
    <w:rsid w:val="00472ECE"/>
    <w:rsid w:val="00613DD5"/>
    <w:rsid w:val="00622358"/>
    <w:rsid w:val="006735BE"/>
    <w:rsid w:val="00912D99"/>
    <w:rsid w:val="00C46D9C"/>
    <w:rsid w:val="00E961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6ED2E"/>
  <w15:docId w15:val="{08F5234C-7CD5-4CA8-BE83-AAAF7AF5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Encabezado">
    <w:name w:val="header"/>
    <w:basedOn w:val="Normal"/>
    <w:link w:val="EncabezadoCar"/>
    <w:uiPriority w:val="99"/>
    <w:unhideWhenUsed/>
    <w:rsid w:val="008B756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B756E"/>
  </w:style>
  <w:style w:type="paragraph" w:styleId="Piedepgina">
    <w:name w:val="footer"/>
    <w:basedOn w:val="Normal"/>
    <w:link w:val="PiedepginaCar"/>
    <w:uiPriority w:val="99"/>
    <w:unhideWhenUsed/>
    <w:rsid w:val="008B756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B756E"/>
  </w:style>
  <w:style w:type="paragraph" w:styleId="TtuloTDC">
    <w:name w:val="TOC Heading"/>
    <w:next w:val="Normal"/>
    <w:uiPriority w:val="39"/>
    <w:unhideWhenUsed/>
    <w:qFormat/>
    <w:rsid w:val="0024258E"/>
    <w:pPr>
      <w:spacing w:before="240" w:line="259" w:lineRule="auto"/>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24258E"/>
    <w:pPr>
      <w:spacing w:after="100"/>
    </w:pPr>
  </w:style>
  <w:style w:type="character" w:styleId="Hipervnculo">
    <w:name w:val="Hyperlink"/>
    <w:basedOn w:val="Fuentedeprrafopredeter"/>
    <w:uiPriority w:val="99"/>
    <w:unhideWhenUsed/>
    <w:rsid w:val="0024258E"/>
    <w:rPr>
      <w:color w:val="0000FF" w:themeColor="hyperlink"/>
      <w:u w:val="single"/>
    </w:rPr>
  </w:style>
  <w:style w:type="table" w:customStyle="1" w:styleId="a4">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6">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7">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8">
    <w:basedOn w:val="TableNormal1"/>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paragraph" w:styleId="Prrafodelista">
    <w:name w:val="List Paragraph"/>
    <w:basedOn w:val="Normal"/>
    <w:uiPriority w:val="34"/>
    <w:qFormat/>
    <w:rsid w:val="008416A0"/>
    <w:pPr>
      <w:ind w:left="720"/>
      <w:contextualSpacing/>
    </w:pPr>
  </w:style>
  <w:style w:type="character" w:styleId="Textoennegrita">
    <w:name w:val="Strong"/>
    <w:basedOn w:val="Fuentedeprrafopredeter"/>
    <w:uiPriority w:val="22"/>
    <w:qFormat/>
    <w:rsid w:val="002A3915"/>
    <w:rPr>
      <w:b/>
      <w:bCs/>
    </w:rPr>
  </w:style>
  <w:style w:type="paragraph" w:styleId="NormalWeb">
    <w:name w:val="Normal (Web)"/>
    <w:basedOn w:val="Normal"/>
    <w:uiPriority w:val="99"/>
    <w:unhideWhenUsed/>
    <w:rsid w:val="002A39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tar-inserted">
    <w:name w:val="ng-star-inserted"/>
    <w:basedOn w:val="Fuentedeprrafopredeter"/>
    <w:rsid w:val="001D1EF9"/>
  </w:style>
  <w:style w:type="paragraph" w:styleId="Sinespaciado">
    <w:name w:val="No Spacing"/>
    <w:uiPriority w:val="1"/>
    <w:qFormat/>
    <w:rsid w:val="009D61D0"/>
    <w:pPr>
      <w:spacing w:line="240" w:lineRule="auto"/>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9">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e">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2NgjQedEXaNwSsTbWNjLjFzrA==">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5249</Words>
  <Characters>28872</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Empresa de Renovación y Desarrollo Urbano</Company>
  <LinksUpToDate>false</LinksUpToDate>
  <CharactersWithSpaces>34053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González M.</dc:creator>
  <cp:lastModifiedBy>AG76</cp:lastModifiedBy>
  <cp:revision>7</cp:revision>
  <dcterms:created xsi:type="dcterms:W3CDTF">2026-01-09T04:16:00Z</dcterms:created>
  <dcterms:modified xsi:type="dcterms:W3CDTF">2026-01-09T04:37:00Z</dcterms:modified>
</cp:coreProperties>
</file>